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888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4DE08DD">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A39AF92">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hint="default" w:ascii="黑体" w:hAnsi="黑体" w:eastAsia="黑体" w:cs="Times New Roman"/>
                <w:kern w:val="2"/>
                <w:sz w:val="21"/>
                <w:szCs w:val="21"/>
                <w:lang w:val="en-US" w:eastAsia="zh-CN" w:bidi="ar-SA"/>
              </w:rPr>
              <w:t>     </w:t>
            </w:r>
            <w:r>
              <w:rPr>
                <w:rFonts w:ascii="黑体" w:hAnsi="黑体" w:eastAsia="黑体" w:cs="Times New Roman"/>
                <w:kern w:val="2"/>
                <w:sz w:val="21"/>
                <w:szCs w:val="21"/>
                <w:lang w:val="en-US" w:eastAsia="zh-CN" w:bidi="ar-SA"/>
              </w:rPr>
              <w:fldChar w:fldCharType="end"/>
            </w:r>
            <w:bookmarkEnd w:id="0"/>
          </w:p>
        </w:tc>
      </w:tr>
      <w:tr w14:paraId="69E1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48B387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DC3464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B7DD17D">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31AA7C0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hint="default" w:ascii="黑体" w:hAnsi="黑体" w:eastAsia="黑体" w:cs="Times New Roman"/>
                <w:kern w:val="2"/>
                <w:sz w:val="21"/>
                <w:szCs w:val="21"/>
                <w:lang w:val="en-US" w:eastAsia="zh-CN" w:bidi="ar-SA"/>
              </w:rPr>
              <w:t>     </w:t>
            </w:r>
            <w:r>
              <w:rPr>
                <w:rFonts w:ascii="黑体" w:hAnsi="黑体" w:eastAsia="黑体" w:cs="Times New Roman"/>
                <w:kern w:val="2"/>
                <w:sz w:val="21"/>
                <w:szCs w:val="21"/>
                <w:lang w:val="en-US" w:eastAsia="zh-CN" w:bidi="ar-SA"/>
              </w:rPr>
              <w:fldChar w:fldCharType="end"/>
            </w:r>
            <w:bookmarkEnd w:id="2"/>
          </w:p>
        </w:tc>
      </w:tr>
    </w:tbl>
    <w:p w14:paraId="43C17876">
      <w:pPr>
        <w:pStyle w:val="51"/>
        <w:framePr w:w="9639" w:h="624" w:hRule="exact" w:hSpace="181" w:vSpace="181" w:hAnchor="page" w:x="1305" w:y="2269"/>
        <w:rPr>
          <w:rFonts w:ascii="黑体" w:hAnsi="黑体" w:eastAsia="黑体"/>
          <w:b w:val="0"/>
          <w:bCs w:val="0"/>
          <w:w w:val="100"/>
          <w:sz w:val="48"/>
          <w:szCs w:val="48"/>
        </w:rPr>
      </w:pPr>
      <w:bookmarkStart w:id="3" w:name="c2"/>
      <w:bookmarkStart w:id="4" w:name="_Hlk26473981"/>
      <w:r>
        <w:rPr>
          <w:rFonts w:hint="eastAsia" w:ascii="黑体" w:hAnsi="Times New Roman" w:eastAsia="黑体" w:cs="Times New Roman"/>
          <w:b w:val="0"/>
          <w:bCs/>
          <w:w w:val="100"/>
          <w:sz w:val="48"/>
          <w:lang w:val="en-US" w:eastAsia="zh-CN" w:bidi="ar-SA"/>
        </w:rPr>
        <w:fldChar w:fldCharType="begin">
          <w:ffData>
            <w:name w:val="c2"/>
            <w:enabled/>
            <w:calcOnExit w:val="0"/>
            <w:textInput>
              <w:default w:val="河北省小城镇规划建设协会"/>
            </w:textInput>
          </w:ffData>
        </w:fldChar>
      </w:r>
      <w:r>
        <w:rPr>
          <w:rFonts w:hint="eastAsia" w:ascii="黑体" w:hAnsi="Times New Roman" w:eastAsia="黑体" w:cs="Times New Roman"/>
          <w:b w:val="0"/>
          <w:bCs/>
          <w:w w:val="100"/>
          <w:sz w:val="48"/>
          <w:lang w:val="en-US" w:eastAsia="zh-CN" w:bidi="ar-SA"/>
        </w:rPr>
        <w:instrText xml:space="preserve">FORMTEXT</w:instrText>
      </w:r>
      <w:r>
        <w:rPr>
          <w:rFonts w:hint="eastAsia" w:ascii="黑体" w:hAnsi="Times New Roman" w:eastAsia="黑体" w:cs="Times New Roman"/>
          <w:b w:val="0"/>
          <w:bCs/>
          <w:w w:val="100"/>
          <w:sz w:val="48"/>
          <w:lang w:val="en-US" w:eastAsia="zh-CN" w:bidi="ar-SA"/>
        </w:rPr>
        <w:fldChar w:fldCharType="separate"/>
      </w:r>
      <w:r>
        <w:rPr>
          <w:rFonts w:hint="eastAsia" w:ascii="黑体" w:hAnsi="Times New Roman" w:eastAsia="黑体" w:cs="Times New Roman"/>
          <w:b w:val="0"/>
          <w:bCs/>
          <w:w w:val="100"/>
          <w:sz w:val="48"/>
          <w:lang w:val="en-US" w:eastAsia="zh-CN" w:bidi="ar-SA"/>
        </w:rPr>
        <w:t>河北省小城镇规划建设协会</w:t>
      </w:r>
      <w:r>
        <w:rPr>
          <w:rFonts w:hint="eastAsia" w:ascii="黑体" w:hAnsi="Times New Roman" w:eastAsia="黑体" w:cs="Times New Roman"/>
          <w:b w:val="0"/>
          <w:bCs/>
          <w:w w:val="100"/>
          <w:sz w:val="48"/>
          <w:lang w:val="en-US" w:eastAsia="zh-CN" w:bidi="ar-SA"/>
        </w:rPr>
        <w:fldChar w:fldCharType="end"/>
      </w:r>
      <w:bookmarkEnd w:id="3"/>
      <w:r>
        <w:rPr>
          <w:rFonts w:hint="eastAsia" w:ascii="黑体" w:eastAsia="黑体"/>
          <w:b w:val="0"/>
          <w:w w:val="100"/>
          <w:sz w:val="48"/>
        </w:rPr>
        <w:t>团体</w:t>
      </w:r>
      <w:r>
        <w:rPr>
          <w:rFonts w:hint="eastAsia" w:ascii="黑体" w:hAnsi="黑体" w:eastAsia="黑体"/>
          <w:b w:val="0"/>
          <w:bCs w:val="0"/>
          <w:w w:val="100"/>
          <w:sz w:val="48"/>
          <w:szCs w:val="48"/>
        </w:rPr>
        <w:t>标准</w:t>
      </w:r>
    </w:p>
    <w:bookmarkEnd w:id="4"/>
    <w:p w14:paraId="624D1191">
      <w:pPr>
        <w:pStyle w:val="196"/>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QPR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CQPRA</w:t>
      </w:r>
      <w:r>
        <w:rPr>
          <w:rFonts w:ascii="黑体" w:hAnsi="Times New Roman" w:eastAsia="黑体" w:cs="Times New Roman"/>
          <w:bCs/>
          <w:sz w:val="28"/>
          <w:szCs w:val="28"/>
          <w:lang w:val="en-US" w:eastAsia="zh-CN" w:bidi="ar-SA"/>
        </w:rP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hint="default" w:ascii="黑体" w:hAnsi="Times New Roman" w:eastAsia="黑体" w:cs="Times New Roman"/>
          <w:bCs/>
          <w:sz w:val="28"/>
          <w:szCs w:val="28"/>
          <w:lang w:val="en-US" w:eastAsia="zh-CN" w:bidi="ar-SA"/>
        </w:rPr>
        <w:t>     </w:t>
      </w:r>
      <w:r>
        <w:rPr>
          <w:rFonts w:ascii="黑体" w:hAnsi="Times New Roman" w:eastAsia="黑体" w:cs="Times New Roman"/>
          <w:bCs/>
          <w:sz w:val="28"/>
          <w:szCs w:val="28"/>
          <w:lang w:val="en-US" w:eastAsia="zh-CN" w:bidi="ar-SA"/>
        </w:rPr>
        <w:fldChar w:fldCharType="end"/>
      </w:r>
      <w:bookmarkEnd w:id="6"/>
      <w:r>
        <w:rPr>
          <w:rFonts w:hAnsi="黑体"/>
        </w:rPr>
        <w:t>—</w:t>
      </w:r>
      <w:bookmarkStart w:id="7" w:name="NSTD_CODE_B"/>
      <w:r>
        <w:rPr>
          <w:rFonts w:ascii="黑体" w:hAnsi="Times New Roman" w:eastAsia="黑体" w:cs="Times New Roman"/>
          <w:bCs/>
          <w:sz w:val="28"/>
          <w:szCs w:val="28"/>
          <w:lang w:val="en-US" w:eastAsia="zh-CN" w:bidi="ar-SA"/>
        </w:rPr>
        <w:fldChar w:fldCharType="begin">
          <w:ffData>
            <w:name w:val="NSTD_CODE_B"/>
            <w:enabled/>
            <w:calcOnExit w:val="0"/>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hint="default" w:ascii="黑体" w:hAnsi="Times New Roman" w:eastAsia="黑体" w:cs="Times New Roman"/>
          <w:bCs/>
          <w:sz w:val="28"/>
          <w:szCs w:val="28"/>
          <w:lang w:val="en-US" w:eastAsia="zh-CN" w:bidi="ar-SA"/>
        </w:rPr>
        <w:t>     </w:t>
      </w:r>
      <w:r>
        <w:rPr>
          <w:rFonts w:ascii="黑体" w:hAnsi="Times New Roman" w:eastAsia="黑体" w:cs="Times New Roman"/>
          <w:bCs/>
          <w:sz w:val="28"/>
          <w:szCs w:val="28"/>
          <w:lang w:val="en-US" w:eastAsia="zh-CN" w:bidi="ar-SA"/>
        </w:rPr>
        <w:fldChar w:fldCharType="end"/>
      </w:r>
      <w:bookmarkEnd w:id="7"/>
    </w:p>
    <w:p w14:paraId="3038A47D">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1D2B48E">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2D7F5EC0">
      <w:pPr>
        <w:pStyle w:val="51"/>
        <w:framePr w:w="9639" w:h="6976" w:hRule="exact" w:hSpace="0" w:vSpace="0" w:hAnchor="page" w:y="6408"/>
        <w:jc w:val="center"/>
        <w:rPr>
          <w:rFonts w:ascii="黑体" w:hAnsi="黑体" w:eastAsia="黑体"/>
          <w:b w:val="0"/>
          <w:bCs w:val="0"/>
          <w:w w:val="100"/>
        </w:rPr>
      </w:pPr>
    </w:p>
    <w:p w14:paraId="4EBA1751">
      <w:pPr>
        <w:pStyle w:val="198"/>
        <w:framePr w:h="6974" w:hRule="exact"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城镇饮用水水质提升管控标准"/>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城镇饮用水水质提升管控标准</w:t>
      </w:r>
      <w:r>
        <w:rPr>
          <w:rFonts w:hint="eastAsia" w:ascii="黑体" w:hAnsi="黑体" w:eastAsia="黑体" w:cs="Times New Roman"/>
          <w:bCs/>
          <w:sz w:val="52"/>
          <w:lang w:val="en-US" w:eastAsia="zh-CN" w:bidi="ar-SA"/>
        </w:rPr>
        <w:fldChar w:fldCharType="end"/>
      </w:r>
      <w:bookmarkEnd w:id="9"/>
    </w:p>
    <w:p w14:paraId="08EF2235">
      <w:pPr>
        <w:framePr w:w="9639" w:h="6974" w:hRule="exact" w:wrap="around" w:vAnchor="page" w:hAnchor="page" w:x="1419" w:y="6408" w:anchorLock="1"/>
        <w:ind w:left="-1418"/>
      </w:pPr>
    </w:p>
    <w:p w14:paraId="0EA56BFE">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Urban Drinking Water Quality Improvement and Control Standards"/>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Urban Drinking Water Quality Improvement and Control Standards</w:t>
      </w:r>
      <w:r>
        <w:rPr>
          <w:rFonts w:ascii="黑体" w:hAnsi="黑体" w:eastAsia="黑体" w:cs="Times New Roman"/>
          <w:sz w:val="28"/>
          <w:szCs w:val="28"/>
          <w:lang w:val="en-US" w:eastAsia="zh-CN" w:bidi="ar-SA"/>
        </w:rPr>
        <w:fldChar w:fldCharType="end"/>
      </w:r>
      <w:bookmarkEnd w:id="10"/>
    </w:p>
    <w:p w14:paraId="7CBC0053">
      <w:pPr>
        <w:framePr w:w="9639" w:h="6974" w:hRule="exact" w:wrap="around" w:vAnchor="page" w:hAnchor="page" w:x="1419" w:y="6408" w:anchorLock="1"/>
        <w:spacing w:line="760" w:lineRule="exact"/>
        <w:ind w:left="-1418"/>
      </w:pPr>
    </w:p>
    <w:p w14:paraId="417FA91C">
      <w:pPr>
        <w:pStyle w:val="126"/>
        <w:framePr w:w="9639" w:h="6974" w:hRule="exact" w:wrap="around" w:vAnchor="page" w:hAnchor="page" w:x="1419" w:y="6408" w:anchorLock="1"/>
        <w:textAlignment w:val="bottom"/>
        <w:rPr>
          <w:rFonts w:eastAsia="黑体"/>
          <w:szCs w:val="28"/>
        </w:rPr>
      </w:pPr>
    </w:p>
    <w:p w14:paraId="6CEECD9E">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7D4D5F3">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D9B3AFB">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84F4355">
      <w:pPr>
        <w:pStyle w:val="194"/>
        <w:framePr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87D1819">
      <w:pPr>
        <w:pStyle w:val="195"/>
        <w:framePr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A113292">
      <w:pPr>
        <w:pStyle w:val="152"/>
        <w:framePr w:h="584" w:hRule="exact" w:hSpace="181" w:vSpace="181" w:y="14800"/>
        <w:rPr>
          <w:rFonts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河北省小城镇规划建设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河北省小城镇规划建设协会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869E104">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CF1D531">
      <w:pPr>
        <w:pStyle w:val="92"/>
        <w:spacing w:after="360"/>
      </w:pPr>
      <w:bookmarkStart w:id="21" w:name="BookMark1"/>
      <w:bookmarkStart w:id="22" w:name="_Toc197342205"/>
      <w:r>
        <w:rPr>
          <w:rFonts w:hint="eastAsia"/>
          <w:spacing w:val="320"/>
        </w:rPr>
        <w:t>目</w:t>
      </w:r>
      <w:r>
        <w:rPr>
          <w:rFonts w:hint="eastAsia"/>
        </w:rPr>
        <w:t>次</w:t>
      </w:r>
    </w:p>
    <w:p w14:paraId="7353E51A">
      <w:pPr>
        <w:pStyle w:val="19"/>
        <w:tabs>
          <w:tab w:val="right" w:leader="dot" w:pos="9354"/>
        </w:tabs>
      </w:pPr>
      <w:r>
        <w:fldChar w:fldCharType="begin"/>
      </w:r>
      <w:r>
        <w:instrText xml:space="preserve"> TOC \o "1-1" \h </w:instrText>
      </w:r>
      <w:r>
        <w:fldChar w:fldCharType="separate"/>
      </w:r>
      <w:r>
        <w:fldChar w:fldCharType="begin"/>
      </w:r>
      <w:r>
        <w:instrText xml:space="preserve"> HYPERLINK \l _Toc5346 </w:instrText>
      </w:r>
      <w:r>
        <w:fldChar w:fldCharType="separate"/>
      </w:r>
      <w:r>
        <w:rPr>
          <w:spacing w:val="320"/>
        </w:rPr>
        <w:t>前</w:t>
      </w:r>
      <w:r>
        <w:t>言</w:t>
      </w:r>
      <w:r>
        <w:tab/>
      </w:r>
      <w:r>
        <w:fldChar w:fldCharType="begin"/>
      </w:r>
      <w:r>
        <w:instrText xml:space="preserve"> PAGEREF _Toc5346 </w:instrText>
      </w:r>
      <w:r>
        <w:fldChar w:fldCharType="separate"/>
      </w:r>
      <w:r>
        <w:t>III</w:t>
      </w:r>
      <w:r>
        <w:fldChar w:fldCharType="end"/>
      </w:r>
      <w:r>
        <w:fldChar w:fldCharType="end"/>
      </w:r>
    </w:p>
    <w:p w14:paraId="7BF6BA9A">
      <w:pPr>
        <w:pStyle w:val="19"/>
        <w:tabs>
          <w:tab w:val="right" w:leader="dot" w:pos="9354"/>
        </w:tabs>
      </w:pPr>
      <w:r>
        <w:fldChar w:fldCharType="begin"/>
      </w:r>
      <w:r>
        <w:instrText xml:space="preserve"> HYPERLINK \l _Toc3022 </w:instrText>
      </w:r>
      <w:r>
        <w:fldChar w:fldCharType="separate"/>
      </w:r>
      <w:r>
        <w:rPr>
          <w:spacing w:val="320"/>
        </w:rPr>
        <w:t>引</w:t>
      </w:r>
      <w:r>
        <w:t>言</w:t>
      </w:r>
      <w:r>
        <w:tab/>
      </w:r>
      <w:r>
        <w:fldChar w:fldCharType="begin"/>
      </w:r>
      <w:r>
        <w:instrText xml:space="preserve"> PAGEREF _Toc3022 </w:instrText>
      </w:r>
      <w:r>
        <w:fldChar w:fldCharType="separate"/>
      </w:r>
      <w:r>
        <w:t>V</w:t>
      </w:r>
      <w:r>
        <w:fldChar w:fldCharType="end"/>
      </w:r>
      <w:r>
        <w:fldChar w:fldCharType="end"/>
      </w:r>
    </w:p>
    <w:p w14:paraId="1BD7AE53">
      <w:pPr>
        <w:pStyle w:val="19"/>
        <w:tabs>
          <w:tab w:val="right" w:leader="dot" w:pos="9354"/>
        </w:tabs>
      </w:pPr>
      <w:r>
        <w:fldChar w:fldCharType="begin"/>
      </w:r>
      <w:r>
        <w:instrText xml:space="preserve"> HYPERLINK \l _Toc27644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_Toc27644 </w:instrText>
      </w:r>
      <w:r>
        <w:fldChar w:fldCharType="separate"/>
      </w:r>
      <w:r>
        <w:t>1</w:t>
      </w:r>
      <w:r>
        <w:fldChar w:fldCharType="end"/>
      </w:r>
      <w:r>
        <w:fldChar w:fldCharType="end"/>
      </w:r>
    </w:p>
    <w:p w14:paraId="0F3674AF">
      <w:pPr>
        <w:pStyle w:val="19"/>
        <w:tabs>
          <w:tab w:val="right" w:leader="dot" w:pos="9354"/>
        </w:tabs>
      </w:pPr>
      <w:r>
        <w:fldChar w:fldCharType="begin"/>
      </w:r>
      <w:r>
        <w:instrText xml:space="preserve"> HYPERLINK \l _Toc10190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_Toc10190 </w:instrText>
      </w:r>
      <w:r>
        <w:fldChar w:fldCharType="separate"/>
      </w:r>
      <w:r>
        <w:t>1</w:t>
      </w:r>
      <w:r>
        <w:fldChar w:fldCharType="end"/>
      </w:r>
      <w:r>
        <w:fldChar w:fldCharType="end"/>
      </w:r>
    </w:p>
    <w:p w14:paraId="712DB72B">
      <w:pPr>
        <w:pStyle w:val="19"/>
        <w:tabs>
          <w:tab w:val="right" w:leader="dot" w:pos="9354"/>
        </w:tabs>
      </w:pPr>
      <w:r>
        <w:fldChar w:fldCharType="begin"/>
      </w:r>
      <w:r>
        <w:instrText xml:space="preserve"> HYPERLINK \l _Toc7602 </w:instrText>
      </w:r>
      <w: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_Toc7602 </w:instrText>
      </w:r>
      <w:r>
        <w:fldChar w:fldCharType="separate"/>
      </w:r>
      <w:r>
        <w:t>1</w:t>
      </w:r>
      <w:r>
        <w:fldChar w:fldCharType="end"/>
      </w:r>
      <w:r>
        <w:fldChar w:fldCharType="end"/>
      </w:r>
    </w:p>
    <w:p w14:paraId="6AB8DD92">
      <w:pPr>
        <w:pStyle w:val="19"/>
        <w:tabs>
          <w:tab w:val="right" w:leader="dot" w:pos="9354"/>
        </w:tabs>
      </w:pPr>
      <w:r>
        <w:fldChar w:fldCharType="begin"/>
      </w:r>
      <w:r>
        <w:instrText xml:space="preserve"> HYPERLINK \l _Toc17578 </w:instrText>
      </w:r>
      <w:r>
        <w:fldChar w:fldCharType="separate"/>
      </w:r>
      <w:r>
        <w:rPr>
          <w:rFonts w:hint="eastAsia" w:ascii="黑体" w:eastAsia="黑体"/>
          <w:i w:val="0"/>
        </w:rPr>
        <w:t xml:space="preserve">4 </w:t>
      </w:r>
      <w:r>
        <w:rPr>
          <w:rFonts w:hint="eastAsia"/>
        </w:rPr>
        <w:t>总体要求</w:t>
      </w:r>
      <w:r>
        <w:tab/>
      </w:r>
      <w:r>
        <w:fldChar w:fldCharType="begin"/>
      </w:r>
      <w:r>
        <w:instrText xml:space="preserve"> PAGEREF _Toc17578 </w:instrText>
      </w:r>
      <w:r>
        <w:fldChar w:fldCharType="separate"/>
      </w:r>
      <w:r>
        <w:t>2</w:t>
      </w:r>
      <w:r>
        <w:fldChar w:fldCharType="end"/>
      </w:r>
      <w:r>
        <w:fldChar w:fldCharType="end"/>
      </w:r>
    </w:p>
    <w:p w14:paraId="2285ACBB">
      <w:pPr>
        <w:pStyle w:val="19"/>
        <w:tabs>
          <w:tab w:val="right" w:leader="dot" w:pos="9354"/>
        </w:tabs>
      </w:pPr>
      <w:r>
        <w:fldChar w:fldCharType="begin"/>
      </w:r>
      <w:r>
        <w:instrText xml:space="preserve"> HYPERLINK \l _Toc26567 </w:instrText>
      </w:r>
      <w:r>
        <w:fldChar w:fldCharType="separate"/>
      </w:r>
      <w:r>
        <w:rPr>
          <w:rFonts w:hint="eastAsia" w:ascii="黑体" w:eastAsia="黑体"/>
          <w:i w:val="0"/>
        </w:rPr>
        <w:t xml:space="preserve">5 </w:t>
      </w:r>
      <w:r>
        <w:rPr>
          <w:rFonts w:hint="eastAsia"/>
        </w:rPr>
        <w:t>水质提升技术要求</w:t>
      </w:r>
      <w:r>
        <w:tab/>
      </w:r>
      <w:r>
        <w:fldChar w:fldCharType="begin"/>
      </w:r>
      <w:r>
        <w:instrText xml:space="preserve"> PAGEREF _Toc26567 </w:instrText>
      </w:r>
      <w:r>
        <w:fldChar w:fldCharType="separate"/>
      </w:r>
      <w:r>
        <w:t>2</w:t>
      </w:r>
      <w:r>
        <w:fldChar w:fldCharType="end"/>
      </w:r>
      <w:r>
        <w:fldChar w:fldCharType="end"/>
      </w:r>
    </w:p>
    <w:p w14:paraId="7995FB31">
      <w:pPr>
        <w:pStyle w:val="19"/>
        <w:tabs>
          <w:tab w:val="right" w:leader="dot" w:pos="9354"/>
        </w:tabs>
      </w:pPr>
      <w:r>
        <w:fldChar w:fldCharType="begin"/>
      </w:r>
      <w:r>
        <w:instrText xml:space="preserve"> HYPERLINK \l _Toc24721 </w:instrText>
      </w:r>
      <w:r>
        <w:fldChar w:fldCharType="separate"/>
      </w:r>
      <w:r>
        <w:rPr>
          <w:rFonts w:hint="eastAsia" w:ascii="黑体" w:eastAsia="黑体"/>
          <w:i w:val="0"/>
        </w:rPr>
        <w:t xml:space="preserve">6 </w:t>
      </w:r>
      <w:r>
        <w:rPr>
          <w:rFonts w:hint="eastAsia"/>
        </w:rPr>
        <w:t>水质管控与监测要求</w:t>
      </w:r>
      <w:r>
        <w:tab/>
      </w:r>
      <w:r>
        <w:fldChar w:fldCharType="begin"/>
      </w:r>
      <w:r>
        <w:instrText xml:space="preserve"> PAGEREF _Toc24721 </w:instrText>
      </w:r>
      <w:r>
        <w:fldChar w:fldCharType="separate"/>
      </w:r>
      <w:r>
        <w:t>2</w:t>
      </w:r>
      <w:r>
        <w:fldChar w:fldCharType="end"/>
      </w:r>
      <w:r>
        <w:fldChar w:fldCharType="end"/>
      </w:r>
    </w:p>
    <w:p w14:paraId="587D1DC0">
      <w:pPr>
        <w:pStyle w:val="19"/>
        <w:tabs>
          <w:tab w:val="right" w:leader="dot" w:pos="9354"/>
        </w:tabs>
      </w:pPr>
      <w:r>
        <w:fldChar w:fldCharType="begin"/>
      </w:r>
      <w:r>
        <w:instrText xml:space="preserve"> HYPERLINK \l _Toc4417 </w:instrText>
      </w:r>
      <w:r>
        <w:fldChar w:fldCharType="separate"/>
      </w:r>
      <w:r>
        <w:rPr>
          <w:rFonts w:hint="eastAsia" w:ascii="黑体" w:eastAsia="黑体"/>
          <w:i w:val="0"/>
        </w:rPr>
        <w:t xml:space="preserve">7 </w:t>
      </w:r>
      <w:r>
        <w:rPr>
          <w:rFonts w:hint="eastAsia"/>
        </w:rPr>
        <w:t>系统性能评价与指标</w:t>
      </w:r>
      <w:r>
        <w:tab/>
      </w:r>
      <w:r>
        <w:fldChar w:fldCharType="begin"/>
      </w:r>
      <w:r>
        <w:instrText xml:space="preserve"> PAGEREF _Toc4417 </w:instrText>
      </w:r>
      <w:r>
        <w:fldChar w:fldCharType="separate"/>
      </w:r>
      <w:r>
        <w:t>3</w:t>
      </w:r>
      <w:r>
        <w:fldChar w:fldCharType="end"/>
      </w:r>
      <w:r>
        <w:fldChar w:fldCharType="end"/>
      </w:r>
    </w:p>
    <w:p w14:paraId="1B33D9B7">
      <w:pPr>
        <w:pStyle w:val="19"/>
        <w:tabs>
          <w:tab w:val="right" w:leader="dot" w:pos="9354"/>
        </w:tabs>
      </w:pPr>
      <w:r>
        <w:fldChar w:fldCharType="begin"/>
      </w:r>
      <w:r>
        <w:instrText xml:space="preserve"> HYPERLINK \l _Toc10687 </w:instrText>
      </w:r>
      <w:r>
        <w:fldChar w:fldCharType="separate"/>
      </w:r>
      <w:r>
        <w:rPr>
          <w:rFonts w:hint="eastAsia" w:ascii="黑体" w:eastAsia="黑体"/>
          <w:i w:val="0"/>
        </w:rPr>
        <w:t xml:space="preserve">8 </w:t>
      </w:r>
      <w:r>
        <w:rPr>
          <w:rFonts w:hint="eastAsia"/>
        </w:rPr>
        <w:t>运行维护与安全要求</w:t>
      </w:r>
      <w:r>
        <w:tab/>
      </w:r>
      <w:r>
        <w:fldChar w:fldCharType="begin"/>
      </w:r>
      <w:r>
        <w:instrText xml:space="preserve"> PAGEREF _Toc10687 </w:instrText>
      </w:r>
      <w:r>
        <w:fldChar w:fldCharType="separate"/>
      </w:r>
      <w:r>
        <w:t>4</w:t>
      </w:r>
      <w:r>
        <w:fldChar w:fldCharType="end"/>
      </w:r>
      <w:r>
        <w:fldChar w:fldCharType="end"/>
      </w:r>
    </w:p>
    <w:p w14:paraId="4BF45587">
      <w:pPr>
        <w:pStyle w:val="19"/>
        <w:tabs>
          <w:tab w:val="right" w:leader="dot" w:pos="9354"/>
        </w:tabs>
      </w:pPr>
      <w:r>
        <w:fldChar w:fldCharType="begin"/>
      </w:r>
      <w:r>
        <w:instrText xml:space="preserve"> HYPERLINK \l _Toc11656 </w:instrText>
      </w:r>
      <w:r>
        <w:fldChar w:fldCharType="separate"/>
      </w:r>
      <w:r>
        <w:rPr>
          <w:rFonts w:hint="eastAsia" w:ascii="黑体" w:eastAsia="黑体"/>
          <w:i w:val="0"/>
        </w:rPr>
        <w:t xml:space="preserve">9 </w:t>
      </w:r>
      <w:r>
        <w:rPr>
          <w:rFonts w:hint="eastAsia"/>
        </w:rPr>
        <w:t>记录与报告</w:t>
      </w:r>
      <w:r>
        <w:tab/>
      </w:r>
      <w:r>
        <w:fldChar w:fldCharType="begin"/>
      </w:r>
      <w:r>
        <w:instrText xml:space="preserve"> PAGEREF _Toc11656 </w:instrText>
      </w:r>
      <w:r>
        <w:fldChar w:fldCharType="separate"/>
      </w:r>
      <w:r>
        <w:t>4</w:t>
      </w:r>
      <w:r>
        <w:fldChar w:fldCharType="end"/>
      </w:r>
      <w:r>
        <w:fldChar w:fldCharType="end"/>
      </w:r>
    </w:p>
    <w:p w14:paraId="4E01C529">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09003885">
      <w:pPr>
        <w:pStyle w:val="90"/>
        <w:spacing w:before="900" w:after="360"/>
      </w:pPr>
      <w:bookmarkStart w:id="23" w:name="_Toc5346"/>
      <w:bookmarkStart w:id="24" w:name="BookMark2"/>
      <w:r>
        <w:rPr>
          <w:spacing w:val="320"/>
        </w:rPr>
        <w:t>前</w:t>
      </w:r>
      <w:r>
        <w:t>言</w:t>
      </w:r>
      <w:bookmarkEnd w:id="22"/>
      <w:bookmarkEnd w:id="23"/>
    </w:p>
    <w:p w14:paraId="0C3C157D">
      <w:pPr>
        <w:pStyle w:val="57"/>
        <w:spacing w:line="360" w:lineRule="auto"/>
        <w:ind w:firstLine="420"/>
      </w:pPr>
      <w:r>
        <w:rPr>
          <w:rFonts w:hint="eastAsia"/>
        </w:rPr>
        <w:t>本文件按照GB/T 1.1—2020《标准化工作导则  第1部分：标准化文件的结构和起草规则》的规定起草。</w:t>
      </w:r>
    </w:p>
    <w:p w14:paraId="2C43D6CB">
      <w:pPr>
        <w:pStyle w:val="57"/>
        <w:spacing w:line="360" w:lineRule="auto"/>
        <w:ind w:firstLine="420"/>
      </w:pPr>
      <w:r>
        <w:rPr>
          <w:rFonts w:hint="eastAsia"/>
        </w:rPr>
        <w:t>请注意本文件的某些内容可能涉及专利。本文件的发布机构不承担识别专利的责任。</w:t>
      </w:r>
    </w:p>
    <w:p w14:paraId="3B6194F8">
      <w:pPr>
        <w:pStyle w:val="57"/>
        <w:spacing w:line="360" w:lineRule="auto"/>
        <w:ind w:firstLine="420"/>
      </w:pPr>
      <w:r>
        <w:rPr>
          <w:rFonts w:hint="eastAsia"/>
        </w:rPr>
        <w:t>本文件由河北省小城镇规划建设协会提出并归口。</w:t>
      </w:r>
    </w:p>
    <w:p w14:paraId="2F760AA0">
      <w:pPr>
        <w:pStyle w:val="57"/>
        <w:spacing w:line="360" w:lineRule="auto"/>
        <w:ind w:firstLine="420"/>
        <w:rPr>
          <w:rFonts w:hint="eastAsia" w:eastAsia="宋体"/>
          <w:lang w:val="en-US" w:eastAsia="zh-CN"/>
        </w:rPr>
      </w:pPr>
      <w:r>
        <w:rPr>
          <w:rFonts w:hint="eastAsia"/>
        </w:rPr>
        <w:t>本文件起草单位：唐山市规划建筑设计研究院有限公司</w:t>
      </w:r>
      <w:bookmarkStart w:id="62" w:name="_GoBack"/>
      <w:bookmarkEnd w:id="62"/>
      <w:r>
        <w:rPr>
          <w:rFonts w:hint="eastAsia"/>
          <w:lang w:eastAsia="zh-CN"/>
        </w:rPr>
        <w:t>。</w:t>
      </w:r>
    </w:p>
    <w:p w14:paraId="577BB454">
      <w:pPr>
        <w:pStyle w:val="57"/>
        <w:spacing w:line="360" w:lineRule="auto"/>
        <w:ind w:firstLine="420"/>
        <w:rPr>
          <w:rFonts w:hint="eastAsia" w:eastAsia="宋体"/>
          <w:lang w:eastAsia="zh-CN"/>
        </w:rPr>
      </w:pPr>
      <w:r>
        <w:rPr>
          <w:rFonts w:hint="eastAsia"/>
        </w:rPr>
        <w:t>本文件主要起草人：崔卉</w:t>
      </w:r>
      <w:r>
        <w:rPr>
          <w:rFonts w:hint="eastAsia"/>
          <w:lang w:eastAsia="zh-CN"/>
        </w:rPr>
        <w:t>、</w:t>
      </w:r>
      <w:r>
        <w:rPr>
          <w:rFonts w:hint="eastAsia"/>
        </w:rPr>
        <w:t>韩瑞</w:t>
      </w:r>
      <w:r>
        <w:rPr>
          <w:rFonts w:hint="eastAsia"/>
          <w:lang w:eastAsia="zh-CN"/>
        </w:rPr>
        <w:t>、张轩硕。</w:t>
      </w:r>
    </w:p>
    <w:p w14:paraId="248B364E">
      <w:pPr>
        <w:pStyle w:val="57"/>
        <w:ind w:firstLine="420"/>
      </w:pPr>
    </w:p>
    <w:p w14:paraId="35C617C0">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250F082B">
      <w:pPr>
        <w:pStyle w:val="90"/>
        <w:spacing w:after="360"/>
      </w:pPr>
      <w:bookmarkStart w:id="25" w:name="_Toc3022"/>
      <w:bookmarkStart w:id="26" w:name="_Toc197342206"/>
      <w:bookmarkStart w:id="27" w:name="BookMark3"/>
      <w:r>
        <w:rPr>
          <w:spacing w:val="320"/>
        </w:rPr>
        <w:t>引</w:t>
      </w:r>
      <w:r>
        <w:t>言</w:t>
      </w:r>
      <w:bookmarkEnd w:id="25"/>
      <w:bookmarkEnd w:id="26"/>
    </w:p>
    <w:p w14:paraId="0E665F4D">
      <w:pPr>
        <w:pStyle w:val="57"/>
        <w:spacing w:line="360" w:lineRule="auto"/>
        <w:ind w:firstLine="420"/>
        <w:rPr>
          <w:rFonts w:hint="eastAsia"/>
        </w:rPr>
      </w:pPr>
      <w:r>
        <w:rPr>
          <w:rFonts w:hint="eastAsia"/>
        </w:rPr>
        <w:t>随着城镇化进程加快和居民健康意识提升，饮用水水质安全已成为关系民生福祉的重大课题。近年来，水源污染风险加剧、管网二次污染、新兴污染物检出率上升等问题，对城镇饮用水水质提升提出了更高要求。制定统一的水质提升管控标准，对于规范城镇供水系统的水质管理、保障居民饮水安全具有重要意义。</w:t>
      </w:r>
    </w:p>
    <w:p w14:paraId="3A7A63BF">
      <w:pPr>
        <w:pStyle w:val="57"/>
        <w:spacing w:line="360" w:lineRule="auto"/>
        <w:ind w:firstLine="420"/>
        <w:rPr>
          <w:rFonts w:hint="eastAsia"/>
        </w:rPr>
      </w:pPr>
      <w:r>
        <w:rPr>
          <w:rFonts w:hint="eastAsia"/>
        </w:rPr>
        <w:t>当前，行业内城镇饮用水水质提升的技术路径与管控措施尚缺乏统一标准，导致不同供水系统在处理工艺、监测指标、评价方法等方面存在差异，影响了水质保障效果与系统可靠性。为规范城镇饮用水水质提升管控工作，提升供水系统水质管理水平，本文件依据GB/T 1.1—2020标准编制，结合工程实践与专家共识，详细规定了水质提升技术要求、管控与监测、性能评价及运维安全等方面的技术要求。旨在为城镇供水运营管理方及技术人员提供科学、全面、规范的技术指导，推动城镇饮用水水质持续改善，助力健康中国战略的实施。</w:t>
      </w:r>
    </w:p>
    <w:p w14:paraId="2B332443">
      <w:pPr>
        <w:pStyle w:val="57"/>
        <w:spacing w:line="360" w:lineRule="auto"/>
        <w:ind w:firstLine="420"/>
      </w:pPr>
    </w:p>
    <w:p w14:paraId="2A4BB305">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4BBE8045">
      <w:pPr>
        <w:spacing w:line="20" w:lineRule="exact"/>
        <w:jc w:val="center"/>
        <w:rPr>
          <w:rFonts w:ascii="黑体" w:hAnsi="黑体" w:eastAsia="黑体"/>
          <w:sz w:val="32"/>
          <w:szCs w:val="32"/>
        </w:rPr>
      </w:pPr>
      <w:bookmarkStart w:id="28" w:name="BookMark4"/>
    </w:p>
    <w:p w14:paraId="68AC4402">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23509997">
          <w:pPr>
            <w:pStyle w:val="178"/>
            <w:spacing w:after="0"/>
          </w:pPr>
          <w:bookmarkStart w:id="29" w:name="NEW_STAND_NAME"/>
          <w:r>
            <w:rPr>
              <w:rFonts w:hint="eastAsia"/>
            </w:rPr>
            <w:t>城镇饮用水水质提升管控标准</w:t>
          </w:r>
        </w:p>
      </w:sdtContent>
    </w:sdt>
    <w:bookmarkEnd w:id="29"/>
    <w:p w14:paraId="25B6C0E7">
      <w:pPr>
        <w:pStyle w:val="105"/>
        <w:spacing w:before="240" w:after="240" w:line="360" w:lineRule="auto"/>
      </w:pPr>
      <w:bookmarkStart w:id="30" w:name="_Toc24884218"/>
      <w:bookmarkStart w:id="31" w:name="_Toc17233333"/>
      <w:bookmarkStart w:id="32" w:name="_Toc27644"/>
      <w:bookmarkStart w:id="33" w:name="_Toc26986530"/>
      <w:bookmarkStart w:id="34" w:name="_Toc26648465"/>
      <w:bookmarkStart w:id="35" w:name="_Toc17233325"/>
      <w:bookmarkStart w:id="36" w:name="_Toc26718930"/>
      <w:bookmarkStart w:id="37" w:name="_Toc24884211"/>
      <w:bookmarkStart w:id="38" w:name="_Toc26986771"/>
      <w:bookmarkStart w:id="39" w:name="_Toc97192964"/>
      <w:bookmarkStart w:id="40" w:name="_Toc197342207"/>
      <w:r>
        <w:rPr>
          <w:rFonts w:hint="eastAsia"/>
        </w:rPr>
        <w:t>范围</w:t>
      </w:r>
      <w:bookmarkEnd w:id="30"/>
      <w:bookmarkEnd w:id="31"/>
      <w:bookmarkEnd w:id="32"/>
      <w:bookmarkEnd w:id="33"/>
      <w:bookmarkEnd w:id="34"/>
      <w:bookmarkEnd w:id="35"/>
      <w:bookmarkEnd w:id="36"/>
      <w:bookmarkEnd w:id="37"/>
      <w:bookmarkEnd w:id="38"/>
      <w:bookmarkEnd w:id="39"/>
      <w:bookmarkEnd w:id="40"/>
    </w:p>
    <w:p w14:paraId="1EA2EF08">
      <w:pPr>
        <w:pStyle w:val="57"/>
        <w:spacing w:line="360" w:lineRule="auto"/>
        <w:ind w:firstLine="420"/>
        <w:rPr>
          <w:rFonts w:hint="eastAsia"/>
        </w:rPr>
      </w:pPr>
      <w:bookmarkStart w:id="41" w:name="_Toc17233326"/>
      <w:bookmarkStart w:id="42" w:name="_Toc24884219"/>
      <w:bookmarkStart w:id="43" w:name="_Toc26648466"/>
      <w:bookmarkStart w:id="44" w:name="_Toc24884212"/>
      <w:bookmarkStart w:id="45" w:name="_Toc17233334"/>
      <w:r>
        <w:rPr>
          <w:rFonts w:hint="eastAsia"/>
        </w:rPr>
        <w:t>本文件规定了城镇饮用水水质提升管控的总体要求、水质提升技术要求、水质管控与监测要求、系统性能评价与指标、运行维护与安全、记录与报告等方面的技术要求。</w:t>
      </w:r>
    </w:p>
    <w:p w14:paraId="6F241A2A">
      <w:pPr>
        <w:pStyle w:val="57"/>
        <w:spacing w:line="360" w:lineRule="auto"/>
        <w:ind w:firstLine="420"/>
        <w:rPr>
          <w:rFonts w:hint="eastAsia"/>
        </w:rPr>
      </w:pPr>
      <w:r>
        <w:rPr>
          <w:rFonts w:hint="eastAsia"/>
        </w:rPr>
        <w:t>本文件适用于城镇公共供水系统的饮用水水质提升与管控，为供水运营管理方、水处理设备集成商及技术人员提供全面、科学、规范的技术指导，确保供水系统安全、优质、稳定运行。</w:t>
      </w:r>
    </w:p>
    <w:p w14:paraId="6461AD51">
      <w:pPr>
        <w:pStyle w:val="105"/>
        <w:spacing w:before="240" w:after="240" w:line="360" w:lineRule="auto"/>
      </w:pPr>
      <w:bookmarkStart w:id="46" w:name="_Toc26986772"/>
      <w:bookmarkStart w:id="47" w:name="_Toc197342208"/>
      <w:bookmarkStart w:id="48" w:name="_Toc97192965"/>
      <w:bookmarkStart w:id="49" w:name="_Toc10190"/>
      <w:bookmarkStart w:id="50" w:name="_Toc26986531"/>
      <w:bookmarkStart w:id="51" w:name="_Toc26718931"/>
      <w:r>
        <w:rPr>
          <w:rFonts w:hint="eastAsia"/>
        </w:rPr>
        <w:t>规范性引用文件</w:t>
      </w:r>
      <w:bookmarkEnd w:id="41"/>
      <w:bookmarkEnd w:id="42"/>
      <w:bookmarkEnd w:id="43"/>
      <w:bookmarkEnd w:id="44"/>
      <w:bookmarkEnd w:id="45"/>
      <w:bookmarkEnd w:id="46"/>
      <w:bookmarkEnd w:id="47"/>
      <w:bookmarkEnd w:id="48"/>
      <w:bookmarkEnd w:id="49"/>
      <w:bookmarkEnd w:id="50"/>
      <w:bookmarkEnd w:id="51"/>
    </w:p>
    <w:p w14:paraId="751AB783">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0F57776">
      <w:pPr>
        <w:pStyle w:val="57"/>
        <w:spacing w:line="360" w:lineRule="auto"/>
        <w:ind w:firstLine="420"/>
        <w:rPr>
          <w:rFonts w:hint="eastAsia"/>
          <w:lang w:val="en-US" w:eastAsia="zh-CN"/>
        </w:rPr>
      </w:pPr>
      <w:r>
        <w:rPr>
          <w:rFonts w:hint="default"/>
          <w:lang w:val="en-US" w:eastAsia="zh-CN"/>
        </w:rPr>
        <w:t>GB 5749—2022</w:t>
      </w:r>
      <w:r>
        <w:rPr>
          <w:rFonts w:hint="eastAsia"/>
          <w:lang w:val="en-US" w:eastAsia="zh-CN"/>
        </w:rPr>
        <w:t xml:space="preserve"> 生活饮用水卫生标准</w:t>
      </w:r>
    </w:p>
    <w:p w14:paraId="0E2B18B4">
      <w:pPr>
        <w:pStyle w:val="57"/>
        <w:spacing w:line="360" w:lineRule="auto"/>
        <w:ind w:firstLine="420"/>
        <w:rPr>
          <w:rFonts w:hint="eastAsia"/>
          <w:lang w:val="en-US" w:eastAsia="zh-CN"/>
        </w:rPr>
      </w:pPr>
      <w:r>
        <w:rPr>
          <w:rFonts w:hint="default"/>
          <w:lang w:val="en-US" w:eastAsia="zh-CN"/>
        </w:rPr>
        <w:t>GB/T 1.1—2020</w:t>
      </w:r>
      <w:r>
        <w:rPr>
          <w:rFonts w:hint="eastAsia"/>
          <w:lang w:val="en-US" w:eastAsia="zh-CN"/>
        </w:rPr>
        <w:t xml:space="preserve"> 标准化工作导则 第1部分：标准化文件的结构和起草规则</w:t>
      </w:r>
    </w:p>
    <w:p w14:paraId="104A03A1">
      <w:pPr>
        <w:pStyle w:val="57"/>
        <w:spacing w:line="360" w:lineRule="auto"/>
        <w:ind w:firstLine="420"/>
        <w:rPr>
          <w:rFonts w:hint="eastAsia"/>
          <w:lang w:val="en-US" w:eastAsia="zh-CN"/>
        </w:rPr>
      </w:pPr>
      <w:r>
        <w:rPr>
          <w:rFonts w:hint="default"/>
          <w:lang w:val="en-US" w:eastAsia="zh-CN"/>
        </w:rPr>
        <w:t>GB/T 5750—2023</w:t>
      </w:r>
      <w:r>
        <w:rPr>
          <w:rFonts w:hint="eastAsia"/>
          <w:lang w:val="en-US" w:eastAsia="zh-CN"/>
        </w:rPr>
        <w:t xml:space="preserve"> 生活饮用水标准检验方法</w:t>
      </w:r>
    </w:p>
    <w:p w14:paraId="7D3CF5FC">
      <w:pPr>
        <w:pStyle w:val="57"/>
        <w:spacing w:line="360" w:lineRule="auto"/>
        <w:ind w:firstLine="420"/>
        <w:rPr>
          <w:rFonts w:hint="eastAsia"/>
          <w:lang w:val="en-US" w:eastAsia="zh-CN"/>
        </w:rPr>
      </w:pPr>
      <w:r>
        <w:rPr>
          <w:rFonts w:hint="default"/>
          <w:lang w:val="en-US" w:eastAsia="zh-CN"/>
        </w:rPr>
        <w:t>GB 17051—1997</w:t>
      </w:r>
      <w:r>
        <w:rPr>
          <w:rFonts w:hint="eastAsia"/>
          <w:lang w:val="en-US" w:eastAsia="zh-CN"/>
        </w:rPr>
        <w:t xml:space="preserve"> 二次供水设施卫生规范</w:t>
      </w:r>
    </w:p>
    <w:p w14:paraId="2077641E">
      <w:pPr>
        <w:pStyle w:val="57"/>
        <w:spacing w:line="360" w:lineRule="auto"/>
        <w:ind w:firstLine="420"/>
        <w:rPr>
          <w:rFonts w:hint="eastAsia"/>
          <w:lang w:val="en-US" w:eastAsia="zh-CN"/>
        </w:rPr>
      </w:pPr>
      <w:r>
        <w:rPr>
          <w:rFonts w:hint="default"/>
          <w:lang w:val="en-US" w:eastAsia="zh-CN"/>
        </w:rPr>
        <w:t>CJ/T 206—2005</w:t>
      </w:r>
      <w:r>
        <w:rPr>
          <w:rFonts w:hint="eastAsia"/>
          <w:lang w:val="en-US" w:eastAsia="zh-CN"/>
        </w:rPr>
        <w:t xml:space="preserve"> 城市供水水质标准</w:t>
      </w:r>
    </w:p>
    <w:p w14:paraId="76B14BCF">
      <w:pPr>
        <w:pStyle w:val="57"/>
        <w:spacing w:line="360" w:lineRule="auto"/>
        <w:ind w:firstLine="420"/>
        <w:rPr>
          <w:rFonts w:hint="eastAsia"/>
          <w:lang w:val="en-US" w:eastAsia="zh-CN"/>
        </w:rPr>
      </w:pPr>
      <w:r>
        <w:rPr>
          <w:rFonts w:hint="default"/>
          <w:lang w:val="en-US" w:eastAsia="zh-CN"/>
        </w:rPr>
        <w:t>GB/T 14848—2017</w:t>
      </w:r>
      <w:r>
        <w:rPr>
          <w:rFonts w:hint="eastAsia"/>
          <w:lang w:val="en-US" w:eastAsia="zh-CN"/>
        </w:rPr>
        <w:t xml:space="preserve"> 地下水质量标准</w:t>
      </w:r>
    </w:p>
    <w:p w14:paraId="78748849">
      <w:pPr>
        <w:pStyle w:val="57"/>
        <w:spacing w:line="360" w:lineRule="auto"/>
        <w:ind w:firstLine="420"/>
        <w:rPr>
          <w:rFonts w:hint="eastAsia"/>
          <w:lang w:val="en-US" w:eastAsia="zh-CN"/>
        </w:rPr>
      </w:pPr>
      <w:r>
        <w:rPr>
          <w:rFonts w:hint="default"/>
          <w:lang w:val="en-US" w:eastAsia="zh-CN"/>
        </w:rPr>
        <w:t>GB 3838—2002</w:t>
      </w:r>
      <w:r>
        <w:rPr>
          <w:rFonts w:hint="eastAsia"/>
          <w:lang w:val="en-US" w:eastAsia="zh-CN"/>
        </w:rPr>
        <w:t xml:space="preserve"> 地表水环境质量标准</w:t>
      </w:r>
    </w:p>
    <w:p w14:paraId="3B5B5D9C">
      <w:pPr>
        <w:pStyle w:val="57"/>
        <w:spacing w:line="360" w:lineRule="auto"/>
        <w:ind w:firstLine="420"/>
        <w:rPr>
          <w:rFonts w:hint="eastAsia"/>
          <w:lang w:val="en-US" w:eastAsia="zh-CN"/>
        </w:rPr>
      </w:pPr>
      <w:r>
        <w:rPr>
          <w:rFonts w:hint="default"/>
          <w:lang w:val="en-US" w:eastAsia="zh-CN"/>
        </w:rPr>
        <w:t>GB/T 17218—1998</w:t>
      </w:r>
      <w:r>
        <w:rPr>
          <w:rFonts w:hint="eastAsia"/>
          <w:lang w:val="en-US" w:eastAsia="zh-CN"/>
        </w:rPr>
        <w:t xml:space="preserve"> 饮用水化学处理剂卫生安全性评价</w:t>
      </w:r>
    </w:p>
    <w:p w14:paraId="31408F72">
      <w:pPr>
        <w:pStyle w:val="105"/>
        <w:spacing w:before="240" w:after="240" w:line="360" w:lineRule="auto"/>
        <w:rPr>
          <w:rFonts w:hint="eastAsia"/>
        </w:rPr>
      </w:pPr>
      <w:bookmarkStart w:id="52" w:name="_Toc197342209"/>
      <w:bookmarkStart w:id="53" w:name="_Toc7602"/>
      <w:bookmarkStart w:id="54" w:name="_Toc97192966"/>
      <w:r>
        <w:rPr>
          <w:rFonts w:hint="eastAsia"/>
        </w:rPr>
        <w:t>术语和定义</w:t>
      </w:r>
      <w:bookmarkEnd w:id="52"/>
      <w:bookmarkEnd w:id="53"/>
      <w:bookmarkEnd w:id="54"/>
    </w:p>
    <w:sdt>
      <w:sdtPr>
        <w:id w:val="147454787"/>
        <w:placeholder>
          <w:docPart w:val="{8c1b47a4-cd44-42a1-a634-f1f1eedb417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7D90EB4">
          <w:pPr>
            <w:pStyle w:val="57"/>
            <w:spacing w:line="360" w:lineRule="auto"/>
            <w:ind w:firstLine="420"/>
          </w:pPr>
          <w:bookmarkStart w:id="55" w:name="_Toc26986532"/>
          <w:bookmarkEnd w:id="55"/>
          <w:r>
            <w:rPr>
              <w:rFonts w:ascii="宋体" w:hAnsi="Times New Roman" w:eastAsia="宋体" w:cs="Times New Roman"/>
              <w:sz w:val="21"/>
              <w:lang w:val="en-US" w:eastAsia="zh-CN" w:bidi="ar-SA"/>
            </w:rPr>
            <w:t>下列术语和定义适用于本文件。</w:t>
          </w:r>
        </w:p>
      </w:sdtContent>
    </w:sdt>
    <w:p w14:paraId="2C2BCF9C">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城镇饮用水水质提升</w:t>
      </w:r>
    </w:p>
    <w:bookmarkEnd w:id="28"/>
    <w:p w14:paraId="04208DDB">
      <w:pPr>
        <w:pStyle w:val="57"/>
        <w:spacing w:line="360" w:lineRule="auto"/>
        <w:ind w:firstLine="420"/>
        <w:rPr>
          <w:rFonts w:hint="eastAsia"/>
        </w:rPr>
      </w:pPr>
      <w:r>
        <w:rPr>
          <w:rFonts w:hint="eastAsia"/>
        </w:rPr>
        <w:t>采用物理、化学、生物及智能化等技术手段，对城镇供水系统中的原水、处理水及管网末梢水进行综合治理，使其全面满足或优于GB 5749—2022要求的过程。</w:t>
      </w:r>
    </w:p>
    <w:p w14:paraId="4DF765C0">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水质管控</w:t>
      </w:r>
    </w:p>
    <w:p w14:paraId="19B56986">
      <w:pPr>
        <w:pStyle w:val="57"/>
        <w:spacing w:line="360" w:lineRule="auto"/>
        <w:ind w:firstLine="420"/>
        <w:rPr>
          <w:rFonts w:hint="eastAsia"/>
        </w:rPr>
      </w:pPr>
      <w:r>
        <w:rPr>
          <w:rFonts w:hint="eastAsia"/>
        </w:rPr>
        <w:t>对城镇饮用水从水源到龙头全流程的水质指标进行实时监测、预警、调整与评估的系统化管理活动。</w:t>
      </w:r>
    </w:p>
    <w:p w14:paraId="5060C4A5">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二次供水</w:t>
      </w:r>
    </w:p>
    <w:p w14:paraId="29BF46CF">
      <w:pPr>
        <w:pStyle w:val="57"/>
        <w:spacing w:line="360" w:lineRule="auto"/>
        <w:ind w:firstLine="420"/>
        <w:rPr>
          <w:rFonts w:hint="eastAsia"/>
        </w:rPr>
      </w:pPr>
      <w:r>
        <w:rPr>
          <w:rFonts w:hint="eastAsia"/>
        </w:rPr>
        <w:t>通过储存、加压等设施将城镇公共供水经储存、加压后再供用户使用的供水方式。</w:t>
      </w:r>
    </w:p>
    <w:p w14:paraId="4CAD7DE7">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新兴污染物</w:t>
      </w:r>
    </w:p>
    <w:p w14:paraId="51214B53">
      <w:pPr>
        <w:pStyle w:val="57"/>
        <w:spacing w:line="360" w:lineRule="auto"/>
        <w:ind w:firstLine="420"/>
        <w:rPr>
          <w:rFonts w:hint="eastAsia"/>
        </w:rPr>
      </w:pPr>
      <w:r>
        <w:rPr>
          <w:rFonts w:hint="eastAsia"/>
        </w:rPr>
        <w:t>传统常规监测项目之外、近年来被关注的微量有机污染物，包括药物及个人护理品（PPCPs）、内分泌干扰物（EDCs）、全氟化合物（PFASs）等。</w:t>
      </w:r>
    </w:p>
    <w:p w14:paraId="34241667">
      <w:pPr>
        <w:pStyle w:val="105"/>
        <w:spacing w:before="240" w:after="240" w:line="360" w:lineRule="auto"/>
        <w:rPr>
          <w:rFonts w:hint="eastAsia"/>
        </w:rPr>
      </w:pPr>
      <w:bookmarkStart w:id="56" w:name="_Toc17578"/>
      <w:r>
        <w:rPr>
          <w:rFonts w:hint="eastAsia"/>
        </w:rPr>
        <w:t>总体要求</w:t>
      </w:r>
      <w:bookmarkEnd w:id="56"/>
    </w:p>
    <w:p w14:paraId="71C72384">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基本原则</w:t>
      </w:r>
    </w:p>
    <w:p w14:paraId="355B0890">
      <w:pPr>
        <w:pStyle w:val="57"/>
        <w:spacing w:line="360" w:lineRule="auto"/>
        <w:ind w:firstLine="420"/>
        <w:rPr>
          <w:rFonts w:hint="eastAsia"/>
        </w:rPr>
      </w:pPr>
      <w:r>
        <w:rPr>
          <w:rFonts w:hint="eastAsia"/>
        </w:rPr>
        <w:t>城镇饮用水水质提升管控应遵循以下原则：一是安全性原则，水质提升措施不得引入新的安全风险，任何工艺调整均应设置人工干预与应急切换机制；二是达标性原则，水质提升不得以牺牲水质达标率为代价，出厂水及管网末梢水各项指标应满足GB 5749—2022的要求；三是经济性原则，在满足安全性与达标性的前提下，通过优化工艺与智能调控实现综合运行成本最小化；四是可靠性原则，水质管控系统应具备故障自诊断、自恢复能力，确保7×24小时稳定运行。</w:t>
      </w:r>
    </w:p>
    <w:p w14:paraId="3EADF52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适用条件</w:t>
      </w:r>
    </w:p>
    <w:p w14:paraId="13EA27E6">
      <w:pPr>
        <w:pStyle w:val="57"/>
        <w:spacing w:line="360" w:lineRule="auto"/>
        <w:ind w:firstLine="420"/>
        <w:rPr>
          <w:rFonts w:hint="eastAsia"/>
        </w:rPr>
      </w:pPr>
      <w:r>
        <w:rPr>
          <w:rFonts w:hint="eastAsia"/>
        </w:rPr>
        <w:t>本文件适用于以下供水场景：一是城镇公共供水系统（含水厂及配套管网）；二是二次供水设施的水质提升与管控；三是既有供水系统的水质改造升级项目。</w:t>
      </w:r>
    </w:p>
    <w:p w14:paraId="12F42772">
      <w:pPr>
        <w:pStyle w:val="105"/>
        <w:spacing w:before="240" w:after="240" w:line="360" w:lineRule="auto"/>
        <w:rPr>
          <w:rFonts w:hint="eastAsia"/>
        </w:rPr>
      </w:pPr>
      <w:bookmarkStart w:id="57" w:name="_Toc26567"/>
      <w:r>
        <w:rPr>
          <w:rFonts w:hint="eastAsia"/>
        </w:rPr>
        <w:t>水质提升技术要求</w:t>
      </w:r>
      <w:bookmarkEnd w:id="57"/>
    </w:p>
    <w:p w14:paraId="3F5F3B08">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原水预处理</w:t>
      </w:r>
    </w:p>
    <w:p w14:paraId="311DC63D">
      <w:pPr>
        <w:pStyle w:val="57"/>
        <w:spacing w:line="360" w:lineRule="auto"/>
        <w:ind w:firstLine="420"/>
        <w:rPr>
          <w:rFonts w:hint="eastAsia"/>
          <w:lang w:val="en-US" w:eastAsia="zh-CN"/>
        </w:rPr>
      </w:pPr>
      <w:r>
        <w:rPr>
          <w:rFonts w:hint="eastAsia"/>
          <w:lang w:val="en-US" w:eastAsia="zh-CN"/>
        </w:rPr>
        <w:t>（1）应根据原水水质特征（参照GB 3838—2002或GB/T 14848—2017），设置混凝、沉淀、过滤等预处理工艺，浊度宜控制在1NTU以下。（2）宜采用智能投药系统，根据原水水质在线数据自动调节混凝剂投加量，响应时间不超过5分钟。</w:t>
      </w:r>
    </w:p>
    <w:p w14:paraId="23C01A4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深度处理</w:t>
      </w:r>
    </w:p>
    <w:p w14:paraId="55613079">
      <w:pPr>
        <w:pStyle w:val="57"/>
        <w:numPr>
          <w:ilvl w:val="0"/>
          <w:numId w:val="32"/>
        </w:numPr>
        <w:spacing w:line="360" w:lineRule="auto"/>
        <w:ind w:firstLine="420"/>
        <w:rPr>
          <w:rFonts w:hint="eastAsia"/>
          <w:lang w:eastAsia="zh-CN"/>
        </w:rPr>
      </w:pPr>
      <w:r>
        <w:rPr>
          <w:rFonts w:hint="eastAsia"/>
          <w:lang w:eastAsia="zh-CN"/>
        </w:rPr>
        <w:t>应根据目标水质要求，配置臭氧—生物活性炭（O₃-BAC）、纳滤（NF）、反渗透（RO）等深度处理工艺。（2）宜采用模型预测控制策略，以出水水质达标和药耗最小为目标函数，以进水水质波动为边界条件，滚动优化控制参数。</w:t>
      </w:r>
    </w:p>
    <w:p w14:paraId="2917D50D">
      <w:pPr>
        <w:pStyle w:val="57"/>
        <w:numPr>
          <w:ilvl w:val="0"/>
          <w:numId w:val="0"/>
        </w:numPr>
        <w:spacing w:line="360" w:lineRule="auto"/>
        <w:rPr>
          <w:rFonts w:hint="eastAsia"/>
          <w:lang w:val="en-US" w:eastAsia="zh-CN"/>
        </w:rPr>
      </w:pPr>
      <w:r>
        <w:rPr>
          <w:rFonts w:hint="eastAsia"/>
          <w:lang w:val="en-US" w:eastAsia="zh-CN"/>
        </w:rPr>
        <w:t>5.3 消毒保障</w:t>
      </w:r>
    </w:p>
    <w:p w14:paraId="7C2CC51D">
      <w:pPr>
        <w:pStyle w:val="57"/>
        <w:numPr>
          <w:ilvl w:val="0"/>
          <w:numId w:val="0"/>
        </w:numPr>
        <w:spacing w:line="360" w:lineRule="auto"/>
        <w:ind w:firstLine="420" w:firstLineChars="200"/>
        <w:rPr>
          <w:rFonts w:hint="eastAsia"/>
          <w:lang w:val="en-US" w:eastAsia="zh-CN"/>
        </w:rPr>
      </w:pPr>
      <w:r>
        <w:rPr>
          <w:rFonts w:hint="default"/>
          <w:lang w:val="en-US" w:eastAsia="zh-CN"/>
        </w:rPr>
        <w:t>（1）应采用紫外线（UV）或次氯酸钠等消毒方式，确保出厂水余氯（或等效消毒剂）满足GB 5749—2022要求。（2）管网末梢应维持不低于0.05 mg/L的余氯浓度，确保输配过程中的微生物安全</w:t>
      </w:r>
      <w:r>
        <w:rPr>
          <w:rFonts w:hint="eastAsia"/>
          <w:lang w:val="en-US" w:eastAsia="zh-CN"/>
        </w:rPr>
        <w:t>。</w:t>
      </w:r>
    </w:p>
    <w:p w14:paraId="5045044B">
      <w:pPr>
        <w:pStyle w:val="224"/>
        <w:spacing w:line="360" w:lineRule="auto"/>
        <w:ind w:left="420" w:hanging="420" w:hangingChars="200"/>
        <w:outlineLvl w:val="1"/>
        <w:rPr>
          <w:rFonts w:hint="default" w:ascii="黑体" w:hAnsi="黑体" w:eastAsia="黑体"/>
          <w:szCs w:val="22"/>
          <w:lang w:val="en-US" w:eastAsia="zh-CN"/>
        </w:rPr>
      </w:pPr>
      <w:r>
        <w:rPr>
          <w:rFonts w:hint="default" w:ascii="黑体" w:hAnsi="黑体" w:eastAsia="黑体"/>
          <w:szCs w:val="22"/>
          <w:lang w:val="en-US" w:eastAsia="zh-CN"/>
        </w:rPr>
        <w:t>管网水质保障</w:t>
      </w:r>
    </w:p>
    <w:p w14:paraId="654ACFEA">
      <w:pPr>
        <w:pStyle w:val="57"/>
        <w:numPr>
          <w:ilvl w:val="0"/>
          <w:numId w:val="0"/>
        </w:numPr>
        <w:spacing w:line="360" w:lineRule="auto"/>
        <w:ind w:firstLine="420" w:firstLineChars="200"/>
        <w:rPr>
          <w:rFonts w:hint="default"/>
          <w:lang w:val="en-US" w:eastAsia="zh-CN"/>
        </w:rPr>
      </w:pPr>
      <w:r>
        <w:rPr>
          <w:rFonts w:hint="default"/>
          <w:lang w:val="en-US" w:eastAsia="zh-CN"/>
        </w:rPr>
        <w:t>（1）管网冲洗应定期执行，频率不低于每季度一次，冲洗流速不低于1.5 m/s。（2）二次供水设施应符合GB 17051—1997要求，储水设施每半年清洗消毒不少于一次。</w:t>
      </w:r>
    </w:p>
    <w:p w14:paraId="63434F75">
      <w:pPr>
        <w:pStyle w:val="105"/>
        <w:spacing w:before="240" w:after="240" w:line="360" w:lineRule="auto"/>
        <w:rPr>
          <w:rFonts w:hint="eastAsia"/>
        </w:rPr>
      </w:pPr>
      <w:bookmarkStart w:id="58" w:name="_Toc24721"/>
      <w:r>
        <w:rPr>
          <w:rFonts w:hint="eastAsia"/>
        </w:rPr>
        <w:t>水质管控与监测要求</w:t>
      </w:r>
      <w:bookmarkEnd w:id="58"/>
    </w:p>
    <w:p w14:paraId="39F259AF">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监测参数及频率</w:t>
      </w:r>
    </w:p>
    <w:p w14:paraId="267FFAD5">
      <w:pPr>
        <w:pStyle w:val="57"/>
        <w:spacing w:line="360" w:lineRule="auto"/>
        <w:ind w:firstLine="420"/>
        <w:rPr>
          <w:rFonts w:hint="eastAsia"/>
          <w:lang w:val="en-US" w:eastAsia="zh-CN"/>
        </w:rPr>
      </w:pPr>
      <w:r>
        <w:rPr>
          <w:rFonts w:hint="eastAsia"/>
          <w:lang w:val="en-US" w:eastAsia="zh-CN"/>
        </w:rPr>
        <w:t>水质监测覆盖常规指标、关键指标及新兴污染物三大类别。常规指标包括浊度、色度、臭和味、肉眼可见物、pH、总硬度、溶解性总固体、铁、锰、铝、氟化物、硫酸盐、氯化物、耗氧量、氨氮、总大肠菌群、菌落总数等，采集频率不低于每2小时一次；关键指标包括亚硝酸盐、硝酸盐、消毒副产物（三卤甲烷、卤乙酸）等，采集频率不低于每日一次；新兴污染物为可选监测项，采集频率不低于每月一次。如表1。</w:t>
      </w:r>
    </w:p>
    <w:p w14:paraId="697DA749">
      <w:pPr>
        <w:pStyle w:val="57"/>
        <w:spacing w:line="360" w:lineRule="auto"/>
        <w:ind w:firstLine="420"/>
        <w:jc w:val="center"/>
        <w:rPr>
          <w:rFonts w:hint="eastAsia"/>
          <w:lang w:val="en-US" w:eastAsia="zh-CN"/>
        </w:rPr>
      </w:pPr>
      <w:r>
        <w:rPr>
          <w:rFonts w:hint="eastAsia"/>
          <w:lang w:val="en-US" w:eastAsia="zh-CN"/>
        </w:rPr>
        <w:t>表1  城镇饮用水水质提升管控系统数据采集参数及频率要求</w:t>
      </w:r>
    </w:p>
    <w:tbl>
      <w:tblPr>
        <w:tblStyle w:val="28"/>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4941"/>
        <w:gridCol w:w="1791"/>
      </w:tblGrid>
      <w:tr w14:paraId="6503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14:paraId="6C69B9A7">
            <w:pPr>
              <w:pStyle w:val="57"/>
              <w:spacing w:line="360" w:lineRule="auto"/>
              <w:ind w:firstLine="420"/>
              <w:jc w:val="center"/>
              <w:rPr>
                <w:rFonts w:hint="default"/>
                <w:lang w:val="en-US" w:eastAsia="zh-CN"/>
              </w:rPr>
            </w:pPr>
            <w:r>
              <w:rPr>
                <w:rFonts w:hint="eastAsia"/>
              </w:rPr>
              <w:t>数据类别</w:t>
            </w:r>
          </w:p>
        </w:tc>
        <w:tc>
          <w:tcPr>
            <w:tcW w:w="4941" w:type="dxa"/>
            <w:vAlign w:val="center"/>
          </w:tcPr>
          <w:p w14:paraId="17C971E2">
            <w:pPr>
              <w:pStyle w:val="57"/>
              <w:spacing w:line="360" w:lineRule="auto"/>
              <w:ind w:firstLine="420"/>
              <w:jc w:val="center"/>
              <w:rPr>
                <w:rFonts w:hint="default"/>
                <w:lang w:val="en-US" w:eastAsia="zh-CN"/>
              </w:rPr>
            </w:pPr>
            <w:r>
              <w:rPr>
                <w:rFonts w:hint="default"/>
                <w:lang w:val="en-US" w:eastAsia="zh-CN"/>
              </w:rPr>
              <w:t>监测参数</w:t>
            </w:r>
          </w:p>
        </w:tc>
        <w:tc>
          <w:tcPr>
            <w:tcW w:w="1791" w:type="dxa"/>
            <w:vAlign w:val="center"/>
          </w:tcPr>
          <w:p w14:paraId="68646CEA">
            <w:pPr>
              <w:pStyle w:val="57"/>
              <w:spacing w:line="360" w:lineRule="auto"/>
              <w:ind w:firstLine="420"/>
              <w:jc w:val="center"/>
              <w:rPr>
                <w:rFonts w:hint="default"/>
                <w:lang w:val="en-US" w:eastAsia="zh-CN"/>
              </w:rPr>
            </w:pPr>
            <w:r>
              <w:rPr>
                <w:rFonts w:hint="eastAsia"/>
              </w:rPr>
              <w:t>采集频率</w:t>
            </w:r>
          </w:p>
        </w:tc>
      </w:tr>
      <w:tr w14:paraId="456B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14:paraId="7E775D78">
            <w:pPr>
              <w:pStyle w:val="57"/>
              <w:spacing w:line="360" w:lineRule="auto"/>
              <w:ind w:firstLine="420"/>
              <w:jc w:val="center"/>
              <w:rPr>
                <w:rFonts w:hint="default"/>
                <w:lang w:val="en-US" w:eastAsia="zh-CN"/>
              </w:rPr>
            </w:pPr>
            <w:r>
              <w:rPr>
                <w:rFonts w:hint="default"/>
                <w:lang w:val="en-US" w:eastAsia="zh-CN"/>
              </w:rPr>
              <w:t>常规指标</w:t>
            </w:r>
          </w:p>
        </w:tc>
        <w:tc>
          <w:tcPr>
            <w:tcW w:w="4941" w:type="dxa"/>
            <w:vAlign w:val="center"/>
          </w:tcPr>
          <w:p w14:paraId="3FEAA566">
            <w:pPr>
              <w:pStyle w:val="57"/>
              <w:spacing w:line="360" w:lineRule="auto"/>
              <w:ind w:firstLine="420"/>
              <w:jc w:val="center"/>
              <w:rPr>
                <w:rFonts w:hint="default"/>
                <w:lang w:val="en-US" w:eastAsia="zh-CN"/>
              </w:rPr>
            </w:pPr>
            <w:r>
              <w:rPr>
                <w:rFonts w:hint="default"/>
                <w:lang w:val="en-US" w:eastAsia="zh-CN"/>
              </w:rPr>
              <w:t>浊度、pH、余氯、总大肠菌群、菌落总数等</w:t>
            </w:r>
          </w:p>
        </w:tc>
        <w:tc>
          <w:tcPr>
            <w:tcW w:w="1791" w:type="dxa"/>
            <w:vAlign w:val="center"/>
          </w:tcPr>
          <w:p w14:paraId="06E8956C">
            <w:pPr>
              <w:pStyle w:val="57"/>
              <w:spacing w:line="360" w:lineRule="auto"/>
              <w:ind w:firstLine="420"/>
              <w:jc w:val="center"/>
              <w:rPr>
                <w:rFonts w:hint="default"/>
                <w:lang w:val="en-US" w:eastAsia="zh-CN"/>
              </w:rPr>
            </w:pPr>
            <w:r>
              <w:rPr>
                <w:rFonts w:hint="default"/>
                <w:lang w:val="en-US" w:eastAsia="zh-CN"/>
              </w:rPr>
              <w:t>≥1次/2h</w:t>
            </w:r>
          </w:p>
        </w:tc>
      </w:tr>
      <w:tr w14:paraId="382F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14:paraId="1019074A">
            <w:pPr>
              <w:pStyle w:val="57"/>
              <w:spacing w:line="360" w:lineRule="auto"/>
              <w:ind w:firstLine="420"/>
              <w:jc w:val="center"/>
              <w:rPr>
                <w:rFonts w:hint="default"/>
                <w:lang w:val="en-US" w:eastAsia="zh-CN"/>
              </w:rPr>
            </w:pPr>
            <w:r>
              <w:rPr>
                <w:rFonts w:hint="default"/>
                <w:lang w:val="en-US" w:eastAsia="zh-CN"/>
              </w:rPr>
              <w:t>关键指标</w:t>
            </w:r>
          </w:p>
        </w:tc>
        <w:tc>
          <w:tcPr>
            <w:tcW w:w="4941" w:type="dxa"/>
            <w:vAlign w:val="center"/>
          </w:tcPr>
          <w:p w14:paraId="013A92FD">
            <w:pPr>
              <w:pStyle w:val="57"/>
              <w:spacing w:line="360" w:lineRule="auto"/>
              <w:ind w:firstLine="420"/>
              <w:jc w:val="center"/>
              <w:rPr>
                <w:rFonts w:hint="default"/>
                <w:lang w:val="en-US" w:eastAsia="zh-CN"/>
              </w:rPr>
            </w:pPr>
            <w:r>
              <w:rPr>
                <w:rFonts w:hint="default"/>
                <w:lang w:val="en-US" w:eastAsia="zh-CN"/>
              </w:rPr>
              <w:t>亚硝酸盐、硝酸盐、消毒副产物等</w:t>
            </w:r>
          </w:p>
        </w:tc>
        <w:tc>
          <w:tcPr>
            <w:tcW w:w="1791" w:type="dxa"/>
            <w:vAlign w:val="center"/>
          </w:tcPr>
          <w:p w14:paraId="7AB3FB62">
            <w:pPr>
              <w:pStyle w:val="57"/>
              <w:spacing w:line="360" w:lineRule="auto"/>
              <w:ind w:firstLine="420"/>
              <w:jc w:val="center"/>
              <w:rPr>
                <w:rFonts w:hint="default"/>
                <w:lang w:val="en-US" w:eastAsia="zh-CN"/>
              </w:rPr>
            </w:pPr>
            <w:r>
              <w:rPr>
                <w:rFonts w:hint="default"/>
                <w:lang w:val="en-US" w:eastAsia="zh-CN"/>
              </w:rPr>
              <w:t>≥1次/天</w:t>
            </w:r>
          </w:p>
        </w:tc>
      </w:tr>
      <w:tr w14:paraId="32A5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14:paraId="5AE09661">
            <w:pPr>
              <w:pStyle w:val="57"/>
              <w:spacing w:line="360" w:lineRule="auto"/>
              <w:ind w:firstLine="420"/>
              <w:jc w:val="center"/>
              <w:rPr>
                <w:rFonts w:hint="default"/>
                <w:lang w:val="en-US" w:eastAsia="zh-CN"/>
              </w:rPr>
            </w:pPr>
            <w:r>
              <w:rPr>
                <w:rFonts w:hint="default"/>
                <w:lang w:val="en-US" w:eastAsia="zh-CN"/>
              </w:rPr>
              <w:t>新兴污染物</w:t>
            </w:r>
          </w:p>
        </w:tc>
        <w:tc>
          <w:tcPr>
            <w:tcW w:w="4941" w:type="dxa"/>
            <w:vAlign w:val="center"/>
          </w:tcPr>
          <w:p w14:paraId="0C5166CB">
            <w:pPr>
              <w:pStyle w:val="57"/>
              <w:spacing w:line="360" w:lineRule="auto"/>
              <w:ind w:firstLine="420"/>
              <w:jc w:val="center"/>
              <w:rPr>
                <w:rFonts w:hint="default"/>
                <w:lang w:val="en-US" w:eastAsia="zh-CN"/>
              </w:rPr>
            </w:pPr>
            <w:r>
              <w:rPr>
                <w:rFonts w:hint="default"/>
                <w:lang w:val="en-US" w:eastAsia="zh-CN"/>
              </w:rPr>
              <w:t>药物残留、PFASs等（可选）</w:t>
            </w:r>
          </w:p>
        </w:tc>
        <w:tc>
          <w:tcPr>
            <w:tcW w:w="1791" w:type="dxa"/>
            <w:vAlign w:val="center"/>
          </w:tcPr>
          <w:p w14:paraId="0FA107DE">
            <w:pPr>
              <w:pStyle w:val="57"/>
              <w:spacing w:line="360" w:lineRule="auto"/>
              <w:ind w:firstLine="420"/>
              <w:jc w:val="center"/>
              <w:rPr>
                <w:rFonts w:hint="default"/>
                <w:lang w:val="en-US" w:eastAsia="zh-CN"/>
              </w:rPr>
            </w:pPr>
            <w:r>
              <w:rPr>
                <w:rFonts w:hint="default"/>
                <w:lang w:val="en-US" w:eastAsia="zh-CN"/>
              </w:rPr>
              <w:t>≥1次/月</w:t>
            </w:r>
          </w:p>
        </w:tc>
      </w:tr>
      <w:tr w14:paraId="7250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14:paraId="6D7BD4D3">
            <w:pPr>
              <w:pStyle w:val="57"/>
              <w:spacing w:line="360" w:lineRule="auto"/>
              <w:ind w:firstLine="420"/>
              <w:jc w:val="center"/>
              <w:rPr>
                <w:rFonts w:hint="default"/>
                <w:lang w:val="en-US" w:eastAsia="zh-CN"/>
              </w:rPr>
            </w:pPr>
            <w:r>
              <w:rPr>
                <w:rFonts w:hint="default"/>
                <w:lang w:val="en-US" w:eastAsia="zh-CN"/>
              </w:rPr>
              <w:t>管网末梢</w:t>
            </w:r>
          </w:p>
        </w:tc>
        <w:tc>
          <w:tcPr>
            <w:tcW w:w="4941" w:type="dxa"/>
            <w:vAlign w:val="center"/>
          </w:tcPr>
          <w:p w14:paraId="19CFF092">
            <w:pPr>
              <w:pStyle w:val="57"/>
              <w:spacing w:line="360" w:lineRule="auto"/>
              <w:ind w:firstLine="420"/>
              <w:jc w:val="center"/>
              <w:rPr>
                <w:rFonts w:hint="default"/>
                <w:lang w:val="en-US" w:eastAsia="zh-CN"/>
              </w:rPr>
            </w:pPr>
            <w:r>
              <w:rPr>
                <w:rFonts w:hint="default"/>
                <w:lang w:val="en-US" w:eastAsia="zh-CN"/>
              </w:rPr>
              <w:t>余氯、浊度、温度</w:t>
            </w:r>
          </w:p>
        </w:tc>
        <w:tc>
          <w:tcPr>
            <w:tcW w:w="1791" w:type="dxa"/>
            <w:vAlign w:val="center"/>
          </w:tcPr>
          <w:p w14:paraId="337F21E4">
            <w:pPr>
              <w:pStyle w:val="57"/>
              <w:spacing w:line="360" w:lineRule="auto"/>
              <w:ind w:firstLine="420"/>
              <w:jc w:val="center"/>
              <w:rPr>
                <w:rFonts w:hint="default"/>
                <w:lang w:val="en-US" w:eastAsia="zh-CN"/>
              </w:rPr>
            </w:pPr>
            <w:r>
              <w:rPr>
                <w:rFonts w:hint="default"/>
                <w:lang w:val="en-US" w:eastAsia="zh-CN"/>
              </w:rPr>
              <w:t>≥1次/4h</w:t>
            </w:r>
          </w:p>
        </w:tc>
      </w:tr>
    </w:tbl>
    <w:p w14:paraId="23B00AD1">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数据处理要求</w:t>
      </w:r>
    </w:p>
    <w:p w14:paraId="2C53356B">
      <w:pPr>
        <w:pStyle w:val="57"/>
        <w:spacing w:line="360" w:lineRule="auto"/>
        <w:ind w:firstLine="420"/>
        <w:rPr>
          <w:rFonts w:hint="eastAsia" w:eastAsia="宋体"/>
          <w:lang w:eastAsia="zh-CN"/>
        </w:rPr>
      </w:pPr>
      <w:r>
        <w:rPr>
          <w:rFonts w:hint="eastAsia"/>
          <w:lang w:eastAsia="zh-CN"/>
        </w:rPr>
        <w:t>（1）数据应进行完整性校验，缺失率超过5%的数据段应标记并采用插值法补全。（2）异常数据应自动识别并剔除，识别规则宜基于3σ准则或箱线图法。（3）历史监测数据保存周期不少于3年，实时数据缓存不少于60天。</w:t>
      </w:r>
    </w:p>
    <w:p w14:paraId="76CD9130">
      <w:pPr>
        <w:pStyle w:val="105"/>
        <w:spacing w:before="240" w:after="240" w:line="360" w:lineRule="auto"/>
        <w:rPr>
          <w:rFonts w:hint="eastAsia"/>
        </w:rPr>
      </w:pPr>
      <w:bookmarkStart w:id="59" w:name="_Toc4417"/>
      <w:r>
        <w:rPr>
          <w:rFonts w:hint="eastAsia"/>
        </w:rPr>
        <w:t>系统性能评价与指标</w:t>
      </w:r>
      <w:bookmarkEnd w:id="59"/>
    </w:p>
    <w:p w14:paraId="29E80F3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评价指标体系</w:t>
      </w:r>
    </w:p>
    <w:p w14:paraId="4254E649">
      <w:pPr>
        <w:pStyle w:val="57"/>
        <w:rPr>
          <w:rFonts w:hint="eastAsia"/>
          <w:lang w:val="en-US" w:eastAsia="zh-CN"/>
        </w:rPr>
      </w:pPr>
      <w:r>
        <w:rPr>
          <w:rFonts w:hint="eastAsia"/>
          <w:lang w:val="en-US" w:eastAsia="zh-CN"/>
        </w:rPr>
        <w:t>系统评价指标涵盖水质、管控及安全三大类别。详情见表2。</w:t>
      </w:r>
    </w:p>
    <w:p w14:paraId="05924871">
      <w:pPr>
        <w:pStyle w:val="57"/>
        <w:jc w:val="center"/>
        <w:rPr>
          <w:rFonts w:hint="default"/>
          <w:lang w:val="en-US" w:eastAsia="zh-CN"/>
        </w:rPr>
      </w:pPr>
      <w:r>
        <w:rPr>
          <w:rFonts w:hint="eastAsia"/>
          <w:lang w:val="en-US" w:eastAsia="zh-CN"/>
        </w:rPr>
        <w:t>表2  城镇饮用水水质提升管控系统评价指标体系</w:t>
      </w:r>
    </w:p>
    <w:tbl>
      <w:tblPr>
        <w:tblStyle w:val="28"/>
        <w:tblW w:w="6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3156"/>
        <w:gridCol w:w="1476"/>
      </w:tblGrid>
      <w:tr w14:paraId="07E2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14:paraId="3528CBC1">
            <w:pPr>
              <w:pStyle w:val="57"/>
              <w:spacing w:line="360" w:lineRule="auto"/>
              <w:ind w:firstLine="420"/>
              <w:jc w:val="center"/>
              <w:rPr>
                <w:rFonts w:hint="eastAsia"/>
                <w:szCs w:val="22"/>
                <w:lang w:eastAsia="zh-CN"/>
              </w:rPr>
            </w:pPr>
            <w:r>
              <w:rPr>
                <w:rFonts w:hint="eastAsia"/>
                <w:szCs w:val="22"/>
                <w:lang w:eastAsia="zh-CN"/>
              </w:rPr>
              <w:t>类别</w:t>
            </w:r>
          </w:p>
        </w:tc>
        <w:tc>
          <w:tcPr>
            <w:tcW w:w="3156" w:type="dxa"/>
            <w:vAlign w:val="center"/>
          </w:tcPr>
          <w:p w14:paraId="6ACCCF6E">
            <w:pPr>
              <w:pStyle w:val="57"/>
              <w:spacing w:line="360" w:lineRule="auto"/>
              <w:ind w:firstLine="420"/>
              <w:jc w:val="center"/>
              <w:rPr>
                <w:rFonts w:hint="eastAsia"/>
                <w:szCs w:val="22"/>
                <w:lang w:eastAsia="zh-CN"/>
              </w:rPr>
            </w:pPr>
            <w:r>
              <w:rPr>
                <w:rFonts w:hint="eastAsia"/>
                <w:szCs w:val="22"/>
                <w:lang w:eastAsia="zh-CN"/>
              </w:rPr>
              <w:t>指标名称</w:t>
            </w:r>
          </w:p>
        </w:tc>
        <w:tc>
          <w:tcPr>
            <w:tcW w:w="1476" w:type="dxa"/>
            <w:vAlign w:val="center"/>
          </w:tcPr>
          <w:p w14:paraId="142920BE">
            <w:pPr>
              <w:pStyle w:val="57"/>
              <w:spacing w:line="360" w:lineRule="auto"/>
              <w:ind w:firstLine="420"/>
              <w:jc w:val="center"/>
              <w:rPr>
                <w:rFonts w:hint="eastAsia"/>
                <w:szCs w:val="22"/>
                <w:lang w:eastAsia="zh-CN"/>
              </w:rPr>
            </w:pPr>
            <w:r>
              <w:rPr>
                <w:rFonts w:hint="eastAsia"/>
                <w:szCs w:val="22"/>
                <w:lang w:eastAsia="zh-CN"/>
              </w:rPr>
              <w:t>要求</w:t>
            </w:r>
          </w:p>
        </w:tc>
      </w:tr>
      <w:tr w14:paraId="66D4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restart"/>
            <w:vAlign w:val="center"/>
          </w:tcPr>
          <w:p w14:paraId="4925CDCB">
            <w:pPr>
              <w:pStyle w:val="57"/>
              <w:spacing w:line="360" w:lineRule="auto"/>
              <w:ind w:firstLine="420"/>
              <w:jc w:val="center"/>
              <w:rPr>
                <w:rFonts w:hint="eastAsia"/>
                <w:szCs w:val="22"/>
                <w:lang w:eastAsia="zh-CN"/>
              </w:rPr>
            </w:pPr>
            <w:r>
              <w:rPr>
                <w:rFonts w:hint="eastAsia"/>
                <w:szCs w:val="22"/>
                <w:lang w:eastAsia="zh-CN"/>
              </w:rPr>
              <w:t>水质指标</w:t>
            </w:r>
          </w:p>
        </w:tc>
        <w:tc>
          <w:tcPr>
            <w:tcW w:w="3156" w:type="dxa"/>
            <w:vAlign w:val="center"/>
          </w:tcPr>
          <w:p w14:paraId="47BF9429">
            <w:pPr>
              <w:pStyle w:val="57"/>
              <w:spacing w:line="360" w:lineRule="auto"/>
              <w:ind w:firstLine="420"/>
              <w:jc w:val="center"/>
              <w:rPr>
                <w:rFonts w:hint="eastAsia"/>
                <w:szCs w:val="22"/>
                <w:lang w:eastAsia="zh-CN"/>
              </w:rPr>
            </w:pPr>
            <w:r>
              <w:rPr>
                <w:rFonts w:hint="eastAsia"/>
                <w:szCs w:val="22"/>
                <w:lang w:eastAsia="zh-CN"/>
              </w:rPr>
              <w:t>出厂水水质达标率</w:t>
            </w:r>
          </w:p>
        </w:tc>
        <w:tc>
          <w:tcPr>
            <w:tcW w:w="1476" w:type="dxa"/>
            <w:vAlign w:val="center"/>
          </w:tcPr>
          <w:p w14:paraId="260F36C9">
            <w:pPr>
              <w:pStyle w:val="57"/>
              <w:spacing w:line="360" w:lineRule="auto"/>
              <w:ind w:firstLine="420"/>
              <w:jc w:val="center"/>
              <w:rPr>
                <w:rFonts w:hint="eastAsia"/>
                <w:szCs w:val="22"/>
                <w:lang w:eastAsia="zh-CN"/>
              </w:rPr>
            </w:pPr>
            <w:r>
              <w:rPr>
                <w:rFonts w:hint="eastAsia"/>
                <w:szCs w:val="22"/>
                <w:lang w:eastAsia="zh-CN"/>
              </w:rPr>
              <w:t>≥99.5%</w:t>
            </w:r>
          </w:p>
        </w:tc>
      </w:tr>
      <w:tr w14:paraId="3BCB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14:paraId="0CC00847">
            <w:pPr>
              <w:pStyle w:val="57"/>
              <w:spacing w:line="360" w:lineRule="auto"/>
              <w:ind w:firstLine="420"/>
              <w:jc w:val="center"/>
              <w:rPr>
                <w:rFonts w:hint="eastAsia"/>
                <w:szCs w:val="22"/>
                <w:lang w:eastAsia="zh-CN"/>
              </w:rPr>
            </w:pPr>
          </w:p>
        </w:tc>
        <w:tc>
          <w:tcPr>
            <w:tcW w:w="3156" w:type="dxa"/>
            <w:vAlign w:val="center"/>
          </w:tcPr>
          <w:p w14:paraId="3C806FAD">
            <w:pPr>
              <w:pStyle w:val="57"/>
              <w:spacing w:line="360" w:lineRule="auto"/>
              <w:ind w:firstLine="420"/>
              <w:jc w:val="center"/>
              <w:rPr>
                <w:rFonts w:hint="eastAsia"/>
                <w:szCs w:val="22"/>
                <w:lang w:eastAsia="zh-CN"/>
              </w:rPr>
            </w:pPr>
            <w:r>
              <w:rPr>
                <w:rFonts w:hint="eastAsia"/>
                <w:szCs w:val="22"/>
                <w:lang w:eastAsia="zh-CN"/>
              </w:rPr>
              <w:t>管网末梢水水质达标率</w:t>
            </w:r>
          </w:p>
        </w:tc>
        <w:tc>
          <w:tcPr>
            <w:tcW w:w="1476" w:type="dxa"/>
            <w:vAlign w:val="center"/>
          </w:tcPr>
          <w:p w14:paraId="6078F165">
            <w:pPr>
              <w:pStyle w:val="57"/>
              <w:spacing w:line="360" w:lineRule="auto"/>
              <w:ind w:firstLine="420"/>
              <w:jc w:val="center"/>
              <w:rPr>
                <w:rFonts w:hint="eastAsia"/>
                <w:szCs w:val="22"/>
                <w:lang w:eastAsia="zh-CN"/>
              </w:rPr>
            </w:pPr>
            <w:r>
              <w:rPr>
                <w:rFonts w:hint="eastAsia"/>
                <w:szCs w:val="22"/>
                <w:lang w:eastAsia="zh-CN"/>
              </w:rPr>
              <w:t>≥98%</w:t>
            </w:r>
          </w:p>
        </w:tc>
      </w:tr>
      <w:tr w14:paraId="6CCF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14:paraId="70172FC7">
            <w:pPr>
              <w:pStyle w:val="57"/>
              <w:spacing w:line="360" w:lineRule="auto"/>
              <w:ind w:firstLine="420"/>
              <w:jc w:val="center"/>
              <w:rPr>
                <w:rFonts w:hint="eastAsia"/>
                <w:szCs w:val="22"/>
                <w:lang w:eastAsia="zh-CN"/>
              </w:rPr>
            </w:pPr>
          </w:p>
        </w:tc>
        <w:tc>
          <w:tcPr>
            <w:tcW w:w="3156" w:type="dxa"/>
            <w:vAlign w:val="center"/>
          </w:tcPr>
          <w:p w14:paraId="71FD83A9">
            <w:pPr>
              <w:pStyle w:val="57"/>
              <w:spacing w:line="360" w:lineRule="auto"/>
              <w:ind w:firstLine="420"/>
              <w:jc w:val="center"/>
              <w:rPr>
                <w:rFonts w:hint="eastAsia"/>
                <w:szCs w:val="22"/>
                <w:lang w:eastAsia="zh-CN"/>
              </w:rPr>
            </w:pPr>
            <w:r>
              <w:rPr>
                <w:rFonts w:hint="eastAsia"/>
                <w:szCs w:val="22"/>
                <w:lang w:eastAsia="zh-CN"/>
              </w:rPr>
              <w:t>新兴污染物去除率（可选）</w:t>
            </w:r>
          </w:p>
        </w:tc>
        <w:tc>
          <w:tcPr>
            <w:tcW w:w="1476" w:type="dxa"/>
            <w:vAlign w:val="center"/>
          </w:tcPr>
          <w:p w14:paraId="5C2D213C">
            <w:pPr>
              <w:pStyle w:val="57"/>
              <w:spacing w:line="360" w:lineRule="auto"/>
              <w:ind w:firstLine="420"/>
              <w:jc w:val="center"/>
              <w:rPr>
                <w:rFonts w:hint="eastAsia"/>
                <w:szCs w:val="22"/>
                <w:lang w:eastAsia="zh-CN"/>
              </w:rPr>
            </w:pPr>
            <w:r>
              <w:rPr>
                <w:rFonts w:hint="eastAsia"/>
                <w:szCs w:val="22"/>
                <w:lang w:eastAsia="zh-CN"/>
              </w:rPr>
              <w:t>≥80%</w:t>
            </w:r>
          </w:p>
        </w:tc>
      </w:tr>
      <w:tr w14:paraId="3A7B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restart"/>
            <w:vAlign w:val="center"/>
          </w:tcPr>
          <w:p w14:paraId="42DC3D73">
            <w:pPr>
              <w:pStyle w:val="57"/>
              <w:spacing w:line="360" w:lineRule="auto"/>
              <w:ind w:firstLine="420"/>
              <w:jc w:val="center"/>
              <w:rPr>
                <w:rFonts w:hint="eastAsia"/>
                <w:szCs w:val="22"/>
                <w:lang w:eastAsia="zh-CN"/>
              </w:rPr>
            </w:pPr>
            <w:r>
              <w:rPr>
                <w:rFonts w:hint="eastAsia"/>
                <w:szCs w:val="22"/>
                <w:lang w:eastAsia="zh-CN"/>
              </w:rPr>
              <w:t>管控指标</w:t>
            </w:r>
          </w:p>
        </w:tc>
        <w:tc>
          <w:tcPr>
            <w:tcW w:w="3156" w:type="dxa"/>
            <w:vAlign w:val="center"/>
          </w:tcPr>
          <w:p w14:paraId="29983E96">
            <w:pPr>
              <w:pStyle w:val="57"/>
              <w:spacing w:line="360" w:lineRule="auto"/>
              <w:ind w:firstLine="420"/>
              <w:jc w:val="center"/>
              <w:rPr>
                <w:rFonts w:hint="eastAsia"/>
                <w:szCs w:val="22"/>
                <w:lang w:eastAsia="zh-CN"/>
              </w:rPr>
            </w:pPr>
            <w:r>
              <w:rPr>
                <w:rFonts w:hint="eastAsia"/>
                <w:szCs w:val="22"/>
                <w:lang w:eastAsia="zh-CN"/>
              </w:rPr>
              <w:t>监测数据完整率</w:t>
            </w:r>
          </w:p>
        </w:tc>
        <w:tc>
          <w:tcPr>
            <w:tcW w:w="1476" w:type="dxa"/>
            <w:vAlign w:val="center"/>
          </w:tcPr>
          <w:p w14:paraId="672C601C">
            <w:pPr>
              <w:pStyle w:val="57"/>
              <w:spacing w:line="360" w:lineRule="auto"/>
              <w:ind w:firstLine="420"/>
              <w:jc w:val="center"/>
              <w:rPr>
                <w:rFonts w:hint="eastAsia"/>
                <w:szCs w:val="22"/>
                <w:lang w:eastAsia="zh-CN"/>
              </w:rPr>
            </w:pPr>
            <w:r>
              <w:rPr>
                <w:rFonts w:hint="eastAsia"/>
                <w:szCs w:val="22"/>
                <w:lang w:eastAsia="zh-CN"/>
              </w:rPr>
              <w:t>≥95%</w:t>
            </w:r>
          </w:p>
        </w:tc>
      </w:tr>
      <w:tr w14:paraId="73B9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14:paraId="300B159A">
            <w:pPr>
              <w:pStyle w:val="57"/>
              <w:spacing w:line="360" w:lineRule="auto"/>
              <w:ind w:firstLine="420"/>
              <w:jc w:val="center"/>
              <w:rPr>
                <w:rFonts w:hint="eastAsia"/>
                <w:szCs w:val="22"/>
                <w:lang w:eastAsia="zh-CN"/>
              </w:rPr>
            </w:pPr>
          </w:p>
        </w:tc>
        <w:tc>
          <w:tcPr>
            <w:tcW w:w="3156" w:type="dxa"/>
            <w:vAlign w:val="center"/>
          </w:tcPr>
          <w:p w14:paraId="59BA1F21">
            <w:pPr>
              <w:pStyle w:val="57"/>
              <w:spacing w:line="360" w:lineRule="auto"/>
              <w:ind w:firstLine="420"/>
              <w:jc w:val="center"/>
              <w:rPr>
                <w:rFonts w:hint="eastAsia"/>
                <w:szCs w:val="22"/>
                <w:lang w:eastAsia="zh-CN"/>
              </w:rPr>
            </w:pPr>
            <w:r>
              <w:rPr>
                <w:rFonts w:hint="eastAsia"/>
                <w:szCs w:val="22"/>
                <w:lang w:eastAsia="zh-CN"/>
              </w:rPr>
              <w:t>异常预警响应时间</w:t>
            </w:r>
          </w:p>
        </w:tc>
        <w:tc>
          <w:tcPr>
            <w:tcW w:w="1476" w:type="dxa"/>
            <w:vAlign w:val="center"/>
          </w:tcPr>
          <w:p w14:paraId="20CAE6C0">
            <w:pPr>
              <w:pStyle w:val="57"/>
              <w:spacing w:line="360" w:lineRule="auto"/>
              <w:ind w:firstLine="420"/>
              <w:jc w:val="center"/>
              <w:rPr>
                <w:rFonts w:hint="eastAsia"/>
                <w:szCs w:val="22"/>
                <w:lang w:eastAsia="zh-CN"/>
              </w:rPr>
            </w:pPr>
            <w:r>
              <w:rPr>
                <w:rFonts w:hint="eastAsia"/>
                <w:szCs w:val="22"/>
                <w:lang w:eastAsia="zh-CN"/>
              </w:rPr>
              <w:t>≤30分钟</w:t>
            </w:r>
          </w:p>
        </w:tc>
      </w:tr>
      <w:tr w14:paraId="1926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14:paraId="1AC9AEFF">
            <w:pPr>
              <w:pStyle w:val="57"/>
              <w:spacing w:line="360" w:lineRule="auto"/>
              <w:ind w:firstLine="420"/>
              <w:jc w:val="center"/>
              <w:rPr>
                <w:rFonts w:hint="eastAsia"/>
                <w:szCs w:val="22"/>
                <w:lang w:eastAsia="zh-CN"/>
              </w:rPr>
            </w:pPr>
          </w:p>
        </w:tc>
        <w:tc>
          <w:tcPr>
            <w:tcW w:w="3156" w:type="dxa"/>
            <w:vAlign w:val="center"/>
          </w:tcPr>
          <w:p w14:paraId="2C4F00F8">
            <w:pPr>
              <w:pStyle w:val="57"/>
              <w:spacing w:line="360" w:lineRule="auto"/>
              <w:ind w:firstLine="420"/>
              <w:jc w:val="center"/>
              <w:rPr>
                <w:rFonts w:hint="eastAsia"/>
                <w:szCs w:val="22"/>
                <w:lang w:eastAsia="zh-CN"/>
              </w:rPr>
            </w:pPr>
            <w:r>
              <w:rPr>
                <w:rFonts w:hint="eastAsia"/>
                <w:szCs w:val="22"/>
                <w:lang w:eastAsia="zh-CN"/>
              </w:rPr>
              <w:t>水质预测准确率（1-MAPE）</w:t>
            </w:r>
          </w:p>
        </w:tc>
        <w:tc>
          <w:tcPr>
            <w:tcW w:w="1476" w:type="dxa"/>
            <w:vAlign w:val="center"/>
          </w:tcPr>
          <w:p w14:paraId="30888232">
            <w:pPr>
              <w:pStyle w:val="57"/>
              <w:spacing w:line="360" w:lineRule="auto"/>
              <w:ind w:firstLine="420"/>
              <w:jc w:val="center"/>
              <w:rPr>
                <w:rFonts w:hint="eastAsia"/>
                <w:szCs w:val="22"/>
                <w:lang w:eastAsia="zh-CN"/>
              </w:rPr>
            </w:pPr>
            <w:r>
              <w:rPr>
                <w:rFonts w:hint="eastAsia"/>
                <w:szCs w:val="22"/>
                <w:lang w:eastAsia="zh-CN"/>
              </w:rPr>
              <w:t>≥90%</w:t>
            </w:r>
          </w:p>
        </w:tc>
      </w:tr>
      <w:tr w14:paraId="0134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restart"/>
            <w:vAlign w:val="center"/>
          </w:tcPr>
          <w:p w14:paraId="305B5983">
            <w:pPr>
              <w:pStyle w:val="57"/>
              <w:spacing w:line="360" w:lineRule="auto"/>
              <w:ind w:firstLine="420"/>
              <w:jc w:val="center"/>
              <w:rPr>
                <w:rFonts w:hint="eastAsia"/>
                <w:szCs w:val="22"/>
                <w:lang w:eastAsia="zh-CN"/>
              </w:rPr>
            </w:pPr>
            <w:r>
              <w:rPr>
                <w:rFonts w:hint="eastAsia"/>
                <w:szCs w:val="22"/>
                <w:lang w:eastAsia="zh-CN"/>
              </w:rPr>
              <w:t>安全指标</w:t>
            </w:r>
          </w:p>
        </w:tc>
        <w:tc>
          <w:tcPr>
            <w:tcW w:w="3156" w:type="dxa"/>
            <w:vAlign w:val="center"/>
          </w:tcPr>
          <w:p w14:paraId="07327B32">
            <w:pPr>
              <w:pStyle w:val="57"/>
              <w:spacing w:line="360" w:lineRule="auto"/>
              <w:ind w:firstLine="420"/>
              <w:jc w:val="center"/>
              <w:rPr>
                <w:rFonts w:hint="eastAsia"/>
                <w:szCs w:val="22"/>
                <w:lang w:eastAsia="zh-CN"/>
              </w:rPr>
            </w:pPr>
            <w:r>
              <w:rPr>
                <w:rFonts w:hint="eastAsia"/>
                <w:szCs w:val="22"/>
                <w:lang w:eastAsia="zh-CN"/>
              </w:rPr>
              <w:t>系统可用率</w:t>
            </w:r>
          </w:p>
        </w:tc>
        <w:tc>
          <w:tcPr>
            <w:tcW w:w="1476" w:type="dxa"/>
            <w:vAlign w:val="center"/>
          </w:tcPr>
          <w:p w14:paraId="43F969D4">
            <w:pPr>
              <w:pStyle w:val="57"/>
              <w:spacing w:line="360" w:lineRule="auto"/>
              <w:ind w:firstLine="420"/>
              <w:jc w:val="center"/>
              <w:rPr>
                <w:rFonts w:hint="eastAsia"/>
                <w:szCs w:val="22"/>
                <w:lang w:eastAsia="zh-CN"/>
              </w:rPr>
            </w:pPr>
            <w:r>
              <w:rPr>
                <w:rFonts w:hint="eastAsia"/>
                <w:szCs w:val="22"/>
                <w:lang w:eastAsia="zh-CN"/>
              </w:rPr>
              <w:t>≥99.5%</w:t>
            </w:r>
          </w:p>
        </w:tc>
      </w:tr>
      <w:tr w14:paraId="6AD5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14:paraId="5AA44B65">
            <w:pPr>
              <w:pStyle w:val="57"/>
              <w:spacing w:line="360" w:lineRule="auto"/>
              <w:ind w:firstLine="420"/>
              <w:jc w:val="center"/>
              <w:rPr>
                <w:rFonts w:hint="eastAsia"/>
                <w:szCs w:val="22"/>
                <w:lang w:eastAsia="zh-CN"/>
              </w:rPr>
            </w:pPr>
          </w:p>
        </w:tc>
        <w:tc>
          <w:tcPr>
            <w:tcW w:w="3156" w:type="dxa"/>
            <w:vAlign w:val="center"/>
          </w:tcPr>
          <w:p w14:paraId="5853C7EC">
            <w:pPr>
              <w:pStyle w:val="57"/>
              <w:spacing w:line="360" w:lineRule="auto"/>
              <w:ind w:firstLine="420"/>
              <w:jc w:val="center"/>
              <w:rPr>
                <w:rFonts w:hint="eastAsia"/>
                <w:szCs w:val="22"/>
                <w:lang w:eastAsia="zh-CN"/>
              </w:rPr>
            </w:pPr>
            <w:r>
              <w:rPr>
                <w:rFonts w:hint="eastAsia"/>
                <w:szCs w:val="22"/>
                <w:lang w:eastAsia="zh-CN"/>
              </w:rPr>
              <w:t>应急切换成功率</w:t>
            </w:r>
          </w:p>
        </w:tc>
        <w:tc>
          <w:tcPr>
            <w:tcW w:w="1476" w:type="dxa"/>
            <w:vAlign w:val="center"/>
          </w:tcPr>
          <w:p w14:paraId="143E99EE">
            <w:pPr>
              <w:pStyle w:val="57"/>
              <w:spacing w:line="360" w:lineRule="auto"/>
              <w:ind w:firstLine="420"/>
              <w:jc w:val="center"/>
              <w:rPr>
                <w:rFonts w:hint="eastAsia"/>
                <w:szCs w:val="22"/>
                <w:lang w:eastAsia="zh-CN"/>
              </w:rPr>
            </w:pPr>
            <w:r>
              <w:rPr>
                <w:rFonts w:hint="eastAsia"/>
                <w:szCs w:val="22"/>
                <w:lang w:eastAsia="zh-CN"/>
              </w:rPr>
              <w:t>100%</w:t>
            </w:r>
          </w:p>
        </w:tc>
      </w:tr>
    </w:tbl>
    <w:p w14:paraId="495423D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性能测试方法</w:t>
      </w:r>
    </w:p>
    <w:p w14:paraId="407B8124">
      <w:pPr>
        <w:pStyle w:val="57"/>
        <w:numPr>
          <w:ilvl w:val="0"/>
          <w:numId w:val="0"/>
        </w:numPr>
        <w:spacing w:line="360" w:lineRule="auto"/>
        <w:ind w:firstLine="420" w:firstLineChars="200"/>
        <w:rPr>
          <w:rFonts w:hint="eastAsia"/>
          <w:lang w:eastAsia="zh-CN"/>
        </w:rPr>
      </w:pPr>
      <w:r>
        <w:rPr>
          <w:rFonts w:hint="eastAsia"/>
          <w:lang w:eastAsia="zh-CN"/>
        </w:rPr>
        <w:t>（1）基准水质测试应在水质提升系统关闭、采用传统处理模式下连续运行不少于7天。（2）提升运行测试应在水质提升系统全功能开启下连续运行不少于30天。（3）达标率计算应扣除水源水质异常波动影响，宜采用统计修正法进行校正。</w:t>
      </w:r>
    </w:p>
    <w:p w14:paraId="4EFA621A">
      <w:pPr>
        <w:pStyle w:val="105"/>
        <w:spacing w:before="240" w:after="240" w:line="360" w:lineRule="auto"/>
        <w:rPr>
          <w:rFonts w:hint="eastAsia"/>
        </w:rPr>
      </w:pPr>
      <w:bookmarkStart w:id="60" w:name="_Toc10687"/>
      <w:r>
        <w:rPr>
          <w:rFonts w:hint="eastAsia"/>
        </w:rPr>
        <w:t>运行维护与安全要求</w:t>
      </w:r>
      <w:bookmarkEnd w:id="60"/>
    </w:p>
    <w:p w14:paraId="2AC5764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运行维护</w:t>
      </w:r>
    </w:p>
    <w:p w14:paraId="6B4989AF">
      <w:pPr>
        <w:pStyle w:val="57"/>
        <w:spacing w:line="360" w:lineRule="auto"/>
        <w:ind w:firstLine="420"/>
        <w:rPr>
          <w:rFonts w:hint="eastAsia"/>
          <w:lang w:eastAsia="zh-CN"/>
        </w:rPr>
      </w:pPr>
      <w:r>
        <w:rPr>
          <w:rFonts w:hint="eastAsia"/>
          <w:lang w:eastAsia="zh-CN"/>
        </w:rPr>
        <w:t>系统维护包括四项内容</w:t>
      </w:r>
      <w:r>
        <w:rPr>
          <w:rFonts w:hint="eastAsia"/>
          <w:lang w:val="en-US" w:eastAsia="zh-CN"/>
        </w:rPr>
        <w:t>以下，详情见表3</w:t>
      </w:r>
      <w:r>
        <w:rPr>
          <w:rFonts w:hint="eastAsia"/>
          <w:lang w:eastAsia="zh-CN"/>
        </w:rPr>
        <w:t>。</w:t>
      </w:r>
    </w:p>
    <w:p w14:paraId="7DA3B56A">
      <w:pPr>
        <w:pStyle w:val="57"/>
        <w:spacing w:line="360" w:lineRule="auto"/>
        <w:ind w:firstLine="420"/>
        <w:jc w:val="center"/>
        <w:rPr>
          <w:rFonts w:hint="eastAsia"/>
          <w:lang w:val="en-US" w:eastAsia="zh-CN"/>
        </w:rPr>
      </w:pPr>
      <w:r>
        <w:rPr>
          <w:rFonts w:hint="eastAsia"/>
          <w:lang w:val="en-US" w:eastAsia="zh-CN"/>
        </w:rPr>
        <w:t>表3  城镇饮用水水质提升管控系统运行维护项目及周期安排</w:t>
      </w:r>
    </w:p>
    <w:tbl>
      <w:tblPr>
        <w:tblStyle w:val="28"/>
        <w:tblW w:w="7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371"/>
        <w:gridCol w:w="4626"/>
      </w:tblGrid>
      <w:tr w14:paraId="10C0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14:paraId="653DF752">
            <w:pPr>
              <w:pStyle w:val="57"/>
              <w:spacing w:line="360" w:lineRule="auto"/>
              <w:jc w:val="center"/>
              <w:rPr>
                <w:rFonts w:hint="default"/>
                <w:vertAlign w:val="baseline"/>
                <w:lang w:val="en-US" w:eastAsia="zh-CN"/>
              </w:rPr>
            </w:pPr>
            <w:r>
              <w:rPr>
                <w:rFonts w:hint="default"/>
                <w:vertAlign w:val="baseline"/>
                <w:lang w:val="en-US" w:eastAsia="zh-CN"/>
              </w:rPr>
              <w:t>维护项目</w:t>
            </w:r>
          </w:p>
        </w:tc>
        <w:tc>
          <w:tcPr>
            <w:tcW w:w="1371" w:type="dxa"/>
            <w:vAlign w:val="center"/>
          </w:tcPr>
          <w:p w14:paraId="369C450B">
            <w:pPr>
              <w:pStyle w:val="57"/>
              <w:spacing w:line="360" w:lineRule="auto"/>
              <w:jc w:val="center"/>
              <w:rPr>
                <w:rFonts w:hint="default"/>
                <w:vertAlign w:val="baseline"/>
                <w:lang w:val="en-US" w:eastAsia="zh-CN"/>
              </w:rPr>
            </w:pPr>
            <w:r>
              <w:rPr>
                <w:rFonts w:hint="default"/>
                <w:vertAlign w:val="baseline"/>
                <w:lang w:val="en-US" w:eastAsia="zh-CN"/>
              </w:rPr>
              <w:t>周期</w:t>
            </w:r>
          </w:p>
        </w:tc>
        <w:tc>
          <w:tcPr>
            <w:tcW w:w="4626" w:type="dxa"/>
            <w:vAlign w:val="center"/>
          </w:tcPr>
          <w:p w14:paraId="12DE9C66">
            <w:pPr>
              <w:pStyle w:val="57"/>
              <w:spacing w:line="360" w:lineRule="auto"/>
              <w:jc w:val="center"/>
              <w:rPr>
                <w:rFonts w:hint="default"/>
                <w:vertAlign w:val="baseline"/>
                <w:lang w:val="en-US" w:eastAsia="zh-CN"/>
              </w:rPr>
            </w:pPr>
            <w:r>
              <w:rPr>
                <w:rFonts w:hint="default"/>
                <w:vertAlign w:val="baseline"/>
                <w:lang w:val="en-US" w:eastAsia="zh-CN"/>
              </w:rPr>
              <w:t>内容</w:t>
            </w:r>
          </w:p>
        </w:tc>
      </w:tr>
      <w:tr w14:paraId="0562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14:paraId="27692B90">
            <w:pPr>
              <w:pStyle w:val="57"/>
              <w:spacing w:line="360" w:lineRule="auto"/>
              <w:jc w:val="center"/>
              <w:rPr>
                <w:rFonts w:hint="default"/>
                <w:vertAlign w:val="baseline"/>
                <w:lang w:val="en-US" w:eastAsia="zh-CN"/>
              </w:rPr>
            </w:pPr>
            <w:r>
              <w:rPr>
                <w:rFonts w:hint="default"/>
                <w:vertAlign w:val="baseline"/>
                <w:lang w:val="en-US" w:eastAsia="zh-CN"/>
              </w:rPr>
              <w:t>仪表校准</w:t>
            </w:r>
          </w:p>
        </w:tc>
        <w:tc>
          <w:tcPr>
            <w:tcW w:w="1371" w:type="dxa"/>
            <w:vAlign w:val="center"/>
          </w:tcPr>
          <w:p w14:paraId="3A46737E">
            <w:pPr>
              <w:pStyle w:val="57"/>
              <w:spacing w:line="360" w:lineRule="auto"/>
              <w:jc w:val="center"/>
              <w:rPr>
                <w:rFonts w:hint="default"/>
                <w:vertAlign w:val="baseline"/>
                <w:lang w:val="en-US" w:eastAsia="zh-CN"/>
              </w:rPr>
            </w:pPr>
            <w:r>
              <w:rPr>
                <w:rFonts w:hint="default"/>
                <w:vertAlign w:val="baseline"/>
                <w:lang w:val="en-US" w:eastAsia="zh-CN"/>
              </w:rPr>
              <w:t>每6个月</w:t>
            </w:r>
          </w:p>
        </w:tc>
        <w:tc>
          <w:tcPr>
            <w:tcW w:w="4626" w:type="dxa"/>
            <w:vAlign w:val="center"/>
          </w:tcPr>
          <w:p w14:paraId="28B01C44">
            <w:pPr>
              <w:pStyle w:val="57"/>
              <w:spacing w:line="360" w:lineRule="auto"/>
              <w:jc w:val="center"/>
              <w:rPr>
                <w:rFonts w:hint="default"/>
                <w:vertAlign w:val="baseline"/>
                <w:lang w:val="en-US" w:eastAsia="zh-CN"/>
              </w:rPr>
            </w:pPr>
            <w:r>
              <w:rPr>
                <w:rFonts w:hint="default"/>
                <w:vertAlign w:val="baseline"/>
                <w:lang w:val="en-US" w:eastAsia="zh-CN"/>
              </w:rPr>
              <w:t>浊度仪、余氯仪、pH计等传感器精度校验</w:t>
            </w:r>
          </w:p>
        </w:tc>
      </w:tr>
      <w:tr w14:paraId="7FE5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14:paraId="7A8D9D77">
            <w:pPr>
              <w:pStyle w:val="57"/>
              <w:spacing w:line="360" w:lineRule="auto"/>
              <w:jc w:val="center"/>
              <w:rPr>
                <w:rFonts w:hint="default"/>
                <w:vertAlign w:val="baseline"/>
                <w:lang w:val="en-US" w:eastAsia="zh-CN"/>
              </w:rPr>
            </w:pPr>
            <w:r>
              <w:rPr>
                <w:rFonts w:hint="default"/>
                <w:vertAlign w:val="baseline"/>
                <w:lang w:val="en-US" w:eastAsia="zh-CN"/>
              </w:rPr>
              <w:t>模型更新</w:t>
            </w:r>
          </w:p>
        </w:tc>
        <w:tc>
          <w:tcPr>
            <w:tcW w:w="1371" w:type="dxa"/>
            <w:vAlign w:val="center"/>
          </w:tcPr>
          <w:p w14:paraId="6F2492BC">
            <w:pPr>
              <w:pStyle w:val="57"/>
              <w:spacing w:line="360" w:lineRule="auto"/>
              <w:jc w:val="center"/>
              <w:rPr>
                <w:rFonts w:hint="default"/>
                <w:vertAlign w:val="baseline"/>
                <w:lang w:val="en-US" w:eastAsia="zh-CN"/>
              </w:rPr>
            </w:pPr>
            <w:r>
              <w:rPr>
                <w:rFonts w:hint="default"/>
                <w:vertAlign w:val="baseline"/>
                <w:lang w:val="en-US" w:eastAsia="zh-CN"/>
              </w:rPr>
              <w:t>每7天</w:t>
            </w:r>
          </w:p>
        </w:tc>
        <w:tc>
          <w:tcPr>
            <w:tcW w:w="4626" w:type="dxa"/>
            <w:vAlign w:val="center"/>
          </w:tcPr>
          <w:p w14:paraId="1487C5AF">
            <w:pPr>
              <w:pStyle w:val="57"/>
              <w:spacing w:line="360" w:lineRule="auto"/>
              <w:jc w:val="center"/>
              <w:rPr>
                <w:rFonts w:hint="default"/>
                <w:vertAlign w:val="baseline"/>
                <w:lang w:val="en-US" w:eastAsia="zh-CN"/>
              </w:rPr>
            </w:pPr>
            <w:r>
              <w:rPr>
                <w:rFonts w:hint="default"/>
                <w:vertAlign w:val="baseline"/>
                <w:lang w:val="en-US" w:eastAsia="zh-CN"/>
              </w:rPr>
              <w:t>基于新监测数据在线迭代水质预测模型</w:t>
            </w:r>
          </w:p>
        </w:tc>
      </w:tr>
      <w:tr w14:paraId="2A92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14:paraId="7F100150">
            <w:pPr>
              <w:pStyle w:val="57"/>
              <w:spacing w:line="360" w:lineRule="auto"/>
              <w:jc w:val="center"/>
              <w:rPr>
                <w:rFonts w:hint="default"/>
                <w:vertAlign w:val="baseline"/>
                <w:lang w:val="en-US" w:eastAsia="zh-CN"/>
              </w:rPr>
            </w:pPr>
            <w:r>
              <w:rPr>
                <w:rFonts w:hint="default"/>
                <w:vertAlign w:val="baseline"/>
                <w:lang w:val="en-US" w:eastAsia="zh-CN"/>
              </w:rPr>
              <w:t>系统巡检</w:t>
            </w:r>
          </w:p>
        </w:tc>
        <w:tc>
          <w:tcPr>
            <w:tcW w:w="1371" w:type="dxa"/>
            <w:vAlign w:val="center"/>
          </w:tcPr>
          <w:p w14:paraId="40CF0B83">
            <w:pPr>
              <w:pStyle w:val="57"/>
              <w:spacing w:line="360" w:lineRule="auto"/>
              <w:jc w:val="center"/>
              <w:rPr>
                <w:rFonts w:hint="default"/>
                <w:vertAlign w:val="baseline"/>
                <w:lang w:val="en-US" w:eastAsia="zh-CN"/>
              </w:rPr>
            </w:pPr>
            <w:r>
              <w:rPr>
                <w:rFonts w:hint="default"/>
                <w:vertAlign w:val="baseline"/>
                <w:lang w:val="en-US" w:eastAsia="zh-CN"/>
              </w:rPr>
              <w:t>每月</w:t>
            </w:r>
          </w:p>
        </w:tc>
        <w:tc>
          <w:tcPr>
            <w:tcW w:w="4626" w:type="dxa"/>
            <w:vAlign w:val="center"/>
          </w:tcPr>
          <w:p w14:paraId="58222E6F">
            <w:pPr>
              <w:pStyle w:val="57"/>
              <w:spacing w:line="360" w:lineRule="auto"/>
              <w:jc w:val="center"/>
              <w:rPr>
                <w:rFonts w:hint="default"/>
                <w:vertAlign w:val="baseline"/>
                <w:lang w:val="en-US" w:eastAsia="zh-CN"/>
              </w:rPr>
            </w:pPr>
            <w:r>
              <w:rPr>
                <w:rFonts w:hint="default"/>
                <w:vertAlign w:val="baseline"/>
                <w:lang w:val="en-US" w:eastAsia="zh-CN"/>
              </w:rPr>
              <w:t>检查通信链路、控制器状态及数据完整性</w:t>
            </w:r>
          </w:p>
        </w:tc>
      </w:tr>
      <w:tr w14:paraId="4BB4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Align w:val="center"/>
          </w:tcPr>
          <w:p w14:paraId="1C6EBC73">
            <w:pPr>
              <w:pStyle w:val="57"/>
              <w:spacing w:line="360" w:lineRule="auto"/>
              <w:jc w:val="center"/>
              <w:rPr>
                <w:rFonts w:hint="default"/>
                <w:vertAlign w:val="baseline"/>
                <w:lang w:val="en-US" w:eastAsia="zh-CN"/>
              </w:rPr>
            </w:pPr>
            <w:r>
              <w:rPr>
                <w:rFonts w:hint="default"/>
                <w:vertAlign w:val="baseline"/>
                <w:lang w:val="en-US" w:eastAsia="zh-CN"/>
              </w:rPr>
              <w:t>全面评估</w:t>
            </w:r>
          </w:p>
        </w:tc>
        <w:tc>
          <w:tcPr>
            <w:tcW w:w="1371" w:type="dxa"/>
            <w:vAlign w:val="center"/>
          </w:tcPr>
          <w:p w14:paraId="27FC299E">
            <w:pPr>
              <w:pStyle w:val="57"/>
              <w:spacing w:line="360" w:lineRule="auto"/>
              <w:jc w:val="center"/>
              <w:rPr>
                <w:rFonts w:hint="default"/>
                <w:vertAlign w:val="baseline"/>
                <w:lang w:val="en-US" w:eastAsia="zh-CN"/>
              </w:rPr>
            </w:pPr>
            <w:r>
              <w:rPr>
                <w:rFonts w:hint="default"/>
                <w:vertAlign w:val="baseline"/>
                <w:lang w:val="en-US" w:eastAsia="zh-CN"/>
              </w:rPr>
              <w:t>每年</w:t>
            </w:r>
          </w:p>
        </w:tc>
        <w:tc>
          <w:tcPr>
            <w:tcW w:w="4626" w:type="dxa"/>
            <w:vAlign w:val="center"/>
          </w:tcPr>
          <w:p w14:paraId="7BD86BB1">
            <w:pPr>
              <w:pStyle w:val="57"/>
              <w:spacing w:line="360" w:lineRule="auto"/>
              <w:jc w:val="center"/>
              <w:rPr>
                <w:rFonts w:hint="default"/>
                <w:vertAlign w:val="baseline"/>
                <w:lang w:val="en-US" w:eastAsia="zh-CN"/>
              </w:rPr>
            </w:pPr>
            <w:r>
              <w:rPr>
                <w:rFonts w:hint="default"/>
                <w:vertAlign w:val="baseline"/>
                <w:lang w:val="en-US" w:eastAsia="zh-CN"/>
              </w:rPr>
              <w:t>评估系统水质提升效果，出具年度水质报告</w:t>
            </w:r>
          </w:p>
        </w:tc>
      </w:tr>
    </w:tbl>
    <w:p w14:paraId="0B5DB5D8">
      <w:pPr>
        <w:pStyle w:val="224"/>
        <w:spacing w:line="360" w:lineRule="auto"/>
        <w:ind w:left="420" w:hanging="420" w:hangingChars="200"/>
        <w:outlineLvl w:val="1"/>
        <w:rPr>
          <w:rFonts w:hint="eastAsia" w:ascii="黑体" w:hAnsi="黑体" w:eastAsia="黑体"/>
          <w:szCs w:val="22"/>
          <w:lang w:val="en-US" w:eastAsia="zh-CN"/>
        </w:rPr>
      </w:pPr>
      <w:r>
        <w:rPr>
          <w:rFonts w:hint="eastAsia" w:ascii="黑体" w:hAnsi="黑体" w:eastAsia="黑体"/>
          <w:szCs w:val="22"/>
          <w:lang w:val="en-US" w:eastAsia="zh-CN"/>
        </w:rPr>
        <w:t>安全要求</w:t>
      </w:r>
    </w:p>
    <w:p w14:paraId="42252D3B">
      <w:pPr>
        <w:pStyle w:val="57"/>
        <w:spacing w:line="360" w:lineRule="auto"/>
        <w:ind w:firstLine="420"/>
        <w:rPr>
          <w:rFonts w:hint="eastAsia" w:eastAsia="宋体"/>
          <w:lang w:eastAsia="zh-CN"/>
        </w:rPr>
      </w:pPr>
      <w:r>
        <w:rPr>
          <w:rFonts w:hint="eastAsia"/>
          <w:lang w:eastAsia="zh-CN"/>
        </w:rPr>
        <w:t>（1）水质管控系统与SCADA/PLC系统之间的通信应采用加密传输协议，防止非法指令注入。（2）系统应设置独立的安全监控模块，对异常加药指令、超限消毒指令进行实时拦截。（3）系统需具备断网/断电保护功能，在通信中断或系统故障时自动切换至本地安全控制模式。（4）水质管控日志应保存不少于3年，支持事后追溯与审计。</w:t>
      </w:r>
    </w:p>
    <w:p w14:paraId="5581C59E">
      <w:pPr>
        <w:pStyle w:val="105"/>
        <w:spacing w:before="240" w:after="240" w:line="360" w:lineRule="auto"/>
        <w:rPr>
          <w:rFonts w:hint="eastAsia"/>
        </w:rPr>
      </w:pPr>
      <w:bookmarkStart w:id="61" w:name="_Toc11656"/>
      <w:r>
        <w:rPr>
          <w:rFonts w:hint="eastAsia"/>
        </w:rPr>
        <w:t>记录与报告</w:t>
      </w:r>
      <w:bookmarkEnd w:id="61"/>
    </w:p>
    <w:p w14:paraId="42715F22">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运行记录</w:t>
      </w:r>
    </w:p>
    <w:p w14:paraId="52AAD401">
      <w:pPr>
        <w:pStyle w:val="57"/>
        <w:spacing w:line="360" w:lineRule="auto"/>
        <w:ind w:firstLine="420"/>
        <w:rPr>
          <w:rFonts w:hint="eastAsia"/>
          <w:lang w:val="en-US" w:eastAsia="zh-CN"/>
        </w:rPr>
      </w:pPr>
      <w:r>
        <w:rPr>
          <w:rFonts w:hint="eastAsia"/>
          <w:lang w:val="en-US" w:eastAsia="zh-CN"/>
        </w:rPr>
        <w:t>水质管控系统应自动记录三类内容：（1）水质数据：包括常规指标、关键指标、管网末梢水温及余氯等。（2）控制指令：包括加药量、消毒剂量、工艺切换等优化指令及执行结果。（3）异常事件：包括水质超标报警、人工干预、应急切换等。</w:t>
      </w:r>
    </w:p>
    <w:p w14:paraId="199CC972">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报告编制</w:t>
      </w:r>
    </w:p>
    <w:p w14:paraId="559EC944">
      <w:pPr>
        <w:pStyle w:val="57"/>
        <w:spacing w:line="360" w:lineRule="auto"/>
        <w:ind w:firstLine="420"/>
        <w:rPr>
          <w:rFonts w:hint="eastAsia"/>
          <w:lang w:val="en-US" w:eastAsia="zh-CN"/>
        </w:rPr>
      </w:pPr>
      <w:r>
        <w:rPr>
          <w:rFonts w:hint="eastAsia"/>
          <w:lang w:eastAsia="zh-CN"/>
        </w:rPr>
        <w:t>系统报告分为日报、月报和年报三类</w:t>
      </w:r>
      <w:r>
        <w:rPr>
          <w:rFonts w:hint="eastAsia"/>
          <w:lang w:val="en-US" w:eastAsia="zh-CN"/>
        </w:rPr>
        <w:t>详情见表4。</w:t>
      </w:r>
    </w:p>
    <w:p w14:paraId="6A200FED">
      <w:pPr>
        <w:pStyle w:val="57"/>
        <w:spacing w:line="360" w:lineRule="auto"/>
        <w:ind w:firstLine="420"/>
        <w:jc w:val="center"/>
        <w:rPr>
          <w:rFonts w:hint="eastAsia"/>
          <w:lang w:val="en-US" w:eastAsia="zh-CN"/>
        </w:rPr>
      </w:pPr>
      <w:r>
        <w:rPr>
          <w:rFonts w:hint="eastAsia"/>
          <w:lang w:val="en-US" w:eastAsia="zh-CN"/>
        </w:rPr>
        <w:t>表4  城镇饮用水水质提升管控系统运行报告编制要求</w:t>
      </w:r>
    </w:p>
    <w:tbl>
      <w:tblPr>
        <w:tblStyle w:val="28"/>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6"/>
        <w:gridCol w:w="5466"/>
      </w:tblGrid>
      <w:tr w14:paraId="1C7B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6" w:type="dxa"/>
            <w:vAlign w:val="top"/>
          </w:tcPr>
          <w:p w14:paraId="109C1BD1">
            <w:pPr>
              <w:pStyle w:val="57"/>
              <w:spacing w:line="360" w:lineRule="auto"/>
              <w:ind w:firstLine="420"/>
              <w:jc w:val="center"/>
              <w:rPr>
                <w:rFonts w:hint="default"/>
                <w:szCs w:val="22"/>
                <w:lang w:val="en-US" w:eastAsia="zh-CN"/>
              </w:rPr>
            </w:pPr>
            <w:r>
              <w:rPr>
                <w:rFonts w:hint="eastAsia"/>
                <w:szCs w:val="22"/>
                <w:lang w:val="en-US" w:eastAsia="zh-CN"/>
              </w:rPr>
              <w:t>报告类型</w:t>
            </w:r>
          </w:p>
        </w:tc>
        <w:tc>
          <w:tcPr>
            <w:tcW w:w="1476" w:type="dxa"/>
            <w:vAlign w:val="top"/>
          </w:tcPr>
          <w:p w14:paraId="343262D2">
            <w:pPr>
              <w:pStyle w:val="57"/>
              <w:spacing w:line="360" w:lineRule="auto"/>
              <w:ind w:firstLine="420"/>
              <w:jc w:val="center"/>
              <w:rPr>
                <w:rFonts w:hint="default"/>
                <w:szCs w:val="22"/>
                <w:lang w:val="en-US" w:eastAsia="zh-CN"/>
              </w:rPr>
            </w:pPr>
            <w:r>
              <w:rPr>
                <w:rFonts w:hint="eastAsia"/>
                <w:szCs w:val="22"/>
                <w:lang w:val="en-US" w:eastAsia="zh-CN"/>
              </w:rPr>
              <w:t>编制周期</w:t>
            </w:r>
          </w:p>
        </w:tc>
        <w:tc>
          <w:tcPr>
            <w:tcW w:w="5466" w:type="dxa"/>
            <w:vAlign w:val="top"/>
          </w:tcPr>
          <w:p w14:paraId="08886EE4">
            <w:pPr>
              <w:pStyle w:val="57"/>
              <w:spacing w:line="360" w:lineRule="auto"/>
              <w:ind w:firstLine="420"/>
              <w:jc w:val="center"/>
              <w:rPr>
                <w:rFonts w:hint="default"/>
                <w:szCs w:val="22"/>
                <w:lang w:val="en-US" w:eastAsia="zh-CN"/>
              </w:rPr>
            </w:pPr>
            <w:r>
              <w:rPr>
                <w:rFonts w:hint="eastAsia"/>
                <w:szCs w:val="22"/>
                <w:lang w:val="en-US" w:eastAsia="zh-CN"/>
              </w:rPr>
              <w:t>主要内容</w:t>
            </w:r>
          </w:p>
        </w:tc>
      </w:tr>
      <w:tr w14:paraId="5C8E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6" w:type="dxa"/>
            <w:vAlign w:val="top"/>
          </w:tcPr>
          <w:p w14:paraId="75644F01">
            <w:pPr>
              <w:pStyle w:val="57"/>
              <w:spacing w:line="360" w:lineRule="auto"/>
              <w:ind w:firstLine="420"/>
              <w:jc w:val="center"/>
              <w:rPr>
                <w:rFonts w:hint="default"/>
                <w:szCs w:val="22"/>
                <w:lang w:val="en-US" w:eastAsia="zh-CN"/>
              </w:rPr>
            </w:pPr>
            <w:r>
              <w:rPr>
                <w:rFonts w:hint="eastAsia"/>
                <w:szCs w:val="22"/>
                <w:lang w:val="en-US" w:eastAsia="zh-CN"/>
              </w:rPr>
              <w:t>日报</w:t>
            </w:r>
          </w:p>
        </w:tc>
        <w:tc>
          <w:tcPr>
            <w:tcW w:w="1476" w:type="dxa"/>
            <w:vAlign w:val="top"/>
          </w:tcPr>
          <w:p w14:paraId="5234AE54">
            <w:pPr>
              <w:pStyle w:val="57"/>
              <w:spacing w:line="360" w:lineRule="auto"/>
              <w:ind w:firstLine="420"/>
              <w:jc w:val="center"/>
              <w:rPr>
                <w:rFonts w:hint="default"/>
                <w:szCs w:val="22"/>
                <w:lang w:val="en-US" w:eastAsia="zh-CN"/>
              </w:rPr>
            </w:pPr>
            <w:r>
              <w:rPr>
                <w:rFonts w:hint="eastAsia"/>
                <w:szCs w:val="22"/>
                <w:lang w:val="en-US" w:eastAsia="zh-CN"/>
              </w:rPr>
              <w:t>每日</w:t>
            </w:r>
          </w:p>
        </w:tc>
        <w:tc>
          <w:tcPr>
            <w:tcW w:w="5466" w:type="dxa"/>
            <w:vAlign w:val="top"/>
          </w:tcPr>
          <w:p w14:paraId="12EC0858">
            <w:pPr>
              <w:pStyle w:val="57"/>
              <w:spacing w:line="360" w:lineRule="auto"/>
              <w:ind w:firstLine="420"/>
              <w:jc w:val="center"/>
              <w:rPr>
                <w:rFonts w:hint="default"/>
                <w:szCs w:val="22"/>
                <w:lang w:val="en-US" w:eastAsia="zh-CN"/>
              </w:rPr>
            </w:pPr>
            <w:r>
              <w:rPr>
                <w:rFonts w:hint="eastAsia"/>
                <w:szCs w:val="22"/>
                <w:lang w:val="en-US" w:eastAsia="zh-CN"/>
              </w:rPr>
              <w:t>当日水质达标情况、异常事件及处置记录</w:t>
            </w:r>
          </w:p>
        </w:tc>
      </w:tr>
      <w:tr w14:paraId="257F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6" w:type="dxa"/>
            <w:vAlign w:val="top"/>
          </w:tcPr>
          <w:p w14:paraId="62057235">
            <w:pPr>
              <w:pStyle w:val="57"/>
              <w:spacing w:line="360" w:lineRule="auto"/>
              <w:ind w:firstLine="420"/>
              <w:jc w:val="center"/>
              <w:rPr>
                <w:rFonts w:hint="default"/>
                <w:szCs w:val="22"/>
                <w:lang w:val="en-US" w:eastAsia="zh-CN"/>
              </w:rPr>
            </w:pPr>
            <w:r>
              <w:rPr>
                <w:rFonts w:hint="eastAsia"/>
                <w:szCs w:val="22"/>
                <w:lang w:val="en-US" w:eastAsia="zh-CN"/>
              </w:rPr>
              <w:t>月报</w:t>
            </w:r>
          </w:p>
        </w:tc>
        <w:tc>
          <w:tcPr>
            <w:tcW w:w="1476" w:type="dxa"/>
            <w:vAlign w:val="top"/>
          </w:tcPr>
          <w:p w14:paraId="55302F31">
            <w:pPr>
              <w:pStyle w:val="57"/>
              <w:spacing w:line="360" w:lineRule="auto"/>
              <w:ind w:firstLine="420"/>
              <w:jc w:val="center"/>
              <w:rPr>
                <w:rFonts w:hint="default"/>
                <w:szCs w:val="22"/>
                <w:lang w:val="en-US" w:eastAsia="zh-CN"/>
              </w:rPr>
            </w:pPr>
            <w:r>
              <w:rPr>
                <w:rFonts w:hint="eastAsia"/>
                <w:szCs w:val="22"/>
                <w:lang w:val="en-US" w:eastAsia="zh-CN"/>
              </w:rPr>
              <w:t>每月</w:t>
            </w:r>
          </w:p>
        </w:tc>
        <w:tc>
          <w:tcPr>
            <w:tcW w:w="5466" w:type="dxa"/>
            <w:vAlign w:val="top"/>
          </w:tcPr>
          <w:p w14:paraId="518E36FB">
            <w:pPr>
              <w:pStyle w:val="57"/>
              <w:spacing w:line="360" w:lineRule="auto"/>
              <w:ind w:firstLine="420"/>
              <w:jc w:val="center"/>
              <w:rPr>
                <w:rFonts w:hint="default"/>
                <w:szCs w:val="22"/>
                <w:lang w:val="en-US" w:eastAsia="zh-CN"/>
              </w:rPr>
            </w:pPr>
            <w:r>
              <w:rPr>
                <w:rFonts w:hint="eastAsia"/>
                <w:szCs w:val="22"/>
                <w:lang w:val="en-US" w:eastAsia="zh-CN"/>
              </w:rPr>
              <w:t>月度水质分析、模型性能评估及维护记录</w:t>
            </w:r>
          </w:p>
        </w:tc>
      </w:tr>
      <w:tr w14:paraId="4762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6" w:type="dxa"/>
            <w:vAlign w:val="top"/>
          </w:tcPr>
          <w:p w14:paraId="172C37A5">
            <w:pPr>
              <w:pStyle w:val="57"/>
              <w:spacing w:line="360" w:lineRule="auto"/>
              <w:ind w:firstLine="420"/>
              <w:jc w:val="center"/>
              <w:rPr>
                <w:rFonts w:hint="default"/>
                <w:szCs w:val="22"/>
                <w:lang w:val="en-US" w:eastAsia="zh-CN"/>
              </w:rPr>
            </w:pPr>
            <w:r>
              <w:rPr>
                <w:rFonts w:hint="eastAsia"/>
                <w:szCs w:val="22"/>
                <w:lang w:val="en-US" w:eastAsia="zh-CN"/>
              </w:rPr>
              <w:t>年报</w:t>
            </w:r>
          </w:p>
        </w:tc>
        <w:tc>
          <w:tcPr>
            <w:tcW w:w="1476" w:type="dxa"/>
            <w:vAlign w:val="top"/>
          </w:tcPr>
          <w:p w14:paraId="36E97412">
            <w:pPr>
              <w:pStyle w:val="57"/>
              <w:spacing w:line="360" w:lineRule="auto"/>
              <w:ind w:firstLine="420"/>
              <w:jc w:val="center"/>
              <w:rPr>
                <w:rFonts w:hint="default"/>
                <w:szCs w:val="22"/>
                <w:lang w:val="en-US" w:eastAsia="zh-CN"/>
              </w:rPr>
            </w:pPr>
            <w:r>
              <w:rPr>
                <w:rFonts w:hint="eastAsia"/>
                <w:szCs w:val="22"/>
                <w:lang w:val="en-US" w:eastAsia="zh-CN"/>
              </w:rPr>
              <w:t>每年</w:t>
            </w:r>
          </w:p>
        </w:tc>
        <w:tc>
          <w:tcPr>
            <w:tcW w:w="5466" w:type="dxa"/>
            <w:vAlign w:val="top"/>
          </w:tcPr>
          <w:p w14:paraId="5FD545E9">
            <w:pPr>
              <w:pStyle w:val="57"/>
              <w:spacing w:line="360" w:lineRule="auto"/>
              <w:ind w:firstLine="420"/>
              <w:jc w:val="center"/>
              <w:rPr>
                <w:rFonts w:hint="default"/>
                <w:szCs w:val="22"/>
                <w:lang w:val="en-US" w:eastAsia="zh-CN"/>
              </w:rPr>
            </w:pPr>
            <w:r>
              <w:rPr>
                <w:rFonts w:hint="eastAsia"/>
                <w:szCs w:val="22"/>
                <w:lang w:val="en-US" w:eastAsia="zh-CN"/>
              </w:rPr>
              <w:t>年度水质提升效益评估、系统可用率统计及改进建议</w:t>
            </w:r>
          </w:p>
        </w:tc>
      </w:tr>
    </w:tbl>
    <w:p w14:paraId="600CACA9">
      <w:pPr>
        <w:pStyle w:val="57"/>
        <w:spacing w:line="360" w:lineRule="auto"/>
        <w:ind w:firstLine="420"/>
        <w:jc w:val="center"/>
        <w:rPr>
          <w:rFonts w:hint="eastAsia"/>
        </w:rPr>
      </w:pPr>
      <w:r>
        <w:rPr>
          <w:rFonts w:hint="eastAsia"/>
        </w:rPr>
        <w:drawing>
          <wp:inline distT="0" distB="0" distL="114300" distR="114300">
            <wp:extent cx="1114425" cy="2381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30"/>
                    <a:stretch>
                      <a:fillRect/>
                    </a:stretch>
                  </pic:blipFill>
                  <pic:spPr>
                    <a:xfrm>
                      <a:off x="0" y="0"/>
                      <a:ext cx="1114425" cy="238125"/>
                    </a:xfrm>
                    <a:prstGeom prst="rect">
                      <a:avLst/>
                    </a:prstGeom>
                    <a:noFill/>
                    <a:ln>
                      <a:noFill/>
                    </a:ln>
                  </pic:spPr>
                </pic:pic>
              </a:graphicData>
            </a:graphic>
          </wp:inline>
        </w:drawing>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A55E">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3BBF6">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A93C">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F415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E7F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13C82">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367E7">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AD1B">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A83A">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0699">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6C5F">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D4C36">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0605">
    <w:pPr>
      <w:pStyle w:val="62"/>
    </w:pPr>
    <w:r>
      <w:fldChar w:fldCharType="begin"/>
    </w:r>
    <w:r>
      <w:instrText xml:space="preserve"> STYLEREF  标准文件_文件编号  \* MERGEFORMAT </w:instrText>
    </w:r>
    <w:r>
      <w:fldChar w:fldCharType="separate"/>
    </w:r>
    <w:r>
      <w:t>T/CQPRA      —     </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9B2ED">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T/CQPRA      —     </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2ED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2364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55D4">
    <w:pPr>
      <w:pStyle w:val="62"/>
    </w:pPr>
    <w:r>
      <w:fldChar w:fldCharType="begin"/>
    </w:r>
    <w:r>
      <w:instrText xml:space="preserve"> STYLEREF  标准文件_文件编号  \* MERGEFORMAT </w:instrText>
    </w:r>
    <w:r>
      <w:fldChar w:fldCharType="separate"/>
    </w:r>
    <w:r>
      <w:t>T/CQPRA      —     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0A433">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T/CQPRA      —     </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D1707">
    <w:pPr>
      <w:pStyle w:val="62"/>
    </w:pPr>
    <w:r>
      <w:fldChar w:fldCharType="begin"/>
    </w:r>
    <w:r>
      <w:instrText xml:space="preserve"> STYLEREF  标准文件_文件编号  \* MERGEFORMAT </w:instrText>
    </w:r>
    <w:r>
      <w:fldChar w:fldCharType="separate"/>
    </w:r>
    <w:r>
      <w:t>T/CQPRA      —     </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84A1A">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T/CQPRA      —     </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855F">
    <w:pPr>
      <w:pStyle w:val="62"/>
    </w:pPr>
    <w:r>
      <w:fldChar w:fldCharType="begin"/>
    </w:r>
    <w:r>
      <w:instrText xml:space="preserve"> STYLEREF  标准文件_文件编号  \* MERGEFORMAT </w:instrText>
    </w:r>
    <w:r>
      <w:fldChar w:fldCharType="separate"/>
    </w:r>
    <w:r>
      <w:t>T/CQPRA      —     </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5611F">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T/CQPRA      —     </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1A893D6"/>
    <w:multiLevelType w:val="singleLevel"/>
    <w:tmpl w:val="71A893D6"/>
    <w:lvl w:ilvl="0" w:tentative="0">
      <w:start w:val="1"/>
      <w:numFmt w:val="decimal"/>
      <w:suff w:val="nothing"/>
      <w:lvlText w:val="（%1）"/>
      <w:lvlJc w:val="left"/>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1"/>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47F"/>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B0"/>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741"/>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797"/>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6B5B"/>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B1CD3"/>
    <w:rsid w:val="01910A08"/>
    <w:rsid w:val="02063AB2"/>
    <w:rsid w:val="020C4532"/>
    <w:rsid w:val="02AA1113"/>
    <w:rsid w:val="02D0730E"/>
    <w:rsid w:val="02F85503"/>
    <w:rsid w:val="03280EF8"/>
    <w:rsid w:val="035C2CE7"/>
    <w:rsid w:val="03F62DA4"/>
    <w:rsid w:val="043A5387"/>
    <w:rsid w:val="04731337"/>
    <w:rsid w:val="04C133B2"/>
    <w:rsid w:val="053973EC"/>
    <w:rsid w:val="05461B09"/>
    <w:rsid w:val="058736AC"/>
    <w:rsid w:val="05EF03F3"/>
    <w:rsid w:val="06450013"/>
    <w:rsid w:val="067508F8"/>
    <w:rsid w:val="06E23AB3"/>
    <w:rsid w:val="07C17B6D"/>
    <w:rsid w:val="07DD49A7"/>
    <w:rsid w:val="083D5267"/>
    <w:rsid w:val="085B1D6F"/>
    <w:rsid w:val="08997829"/>
    <w:rsid w:val="09271C52"/>
    <w:rsid w:val="09DE0562"/>
    <w:rsid w:val="0A521FC7"/>
    <w:rsid w:val="0A544CC8"/>
    <w:rsid w:val="0B220922"/>
    <w:rsid w:val="0C1110C3"/>
    <w:rsid w:val="0C1B3CF0"/>
    <w:rsid w:val="0DF93170"/>
    <w:rsid w:val="0E097B78"/>
    <w:rsid w:val="0F2509E1"/>
    <w:rsid w:val="0FA364D6"/>
    <w:rsid w:val="0FEC1D10"/>
    <w:rsid w:val="10086339"/>
    <w:rsid w:val="10E70644"/>
    <w:rsid w:val="11020FDA"/>
    <w:rsid w:val="11823EC9"/>
    <w:rsid w:val="11A5092B"/>
    <w:rsid w:val="11AB78C4"/>
    <w:rsid w:val="11C95F9C"/>
    <w:rsid w:val="11E44B84"/>
    <w:rsid w:val="12046FD4"/>
    <w:rsid w:val="12211934"/>
    <w:rsid w:val="12521AED"/>
    <w:rsid w:val="12C56763"/>
    <w:rsid w:val="13051255"/>
    <w:rsid w:val="13225964"/>
    <w:rsid w:val="13857CA0"/>
    <w:rsid w:val="145853B5"/>
    <w:rsid w:val="147F2E00"/>
    <w:rsid w:val="14B52807"/>
    <w:rsid w:val="176C54EA"/>
    <w:rsid w:val="18115FA7"/>
    <w:rsid w:val="181F6915"/>
    <w:rsid w:val="18510A99"/>
    <w:rsid w:val="18925339"/>
    <w:rsid w:val="18C67773"/>
    <w:rsid w:val="190E2264"/>
    <w:rsid w:val="196071E6"/>
    <w:rsid w:val="19722A75"/>
    <w:rsid w:val="1A0A7151"/>
    <w:rsid w:val="1A1D6E85"/>
    <w:rsid w:val="1AB01FE6"/>
    <w:rsid w:val="1AD03EF7"/>
    <w:rsid w:val="1AE9320B"/>
    <w:rsid w:val="1B2D6474"/>
    <w:rsid w:val="1B60171F"/>
    <w:rsid w:val="1C56042C"/>
    <w:rsid w:val="1CA4563B"/>
    <w:rsid w:val="1CC63804"/>
    <w:rsid w:val="1EBA1146"/>
    <w:rsid w:val="1F2B2044"/>
    <w:rsid w:val="1F4F1C73"/>
    <w:rsid w:val="1F554A44"/>
    <w:rsid w:val="1F83778A"/>
    <w:rsid w:val="1F952153"/>
    <w:rsid w:val="1FF24E4E"/>
    <w:rsid w:val="201E5705"/>
    <w:rsid w:val="20B816B5"/>
    <w:rsid w:val="21C244AB"/>
    <w:rsid w:val="22837AA1"/>
    <w:rsid w:val="22A16179"/>
    <w:rsid w:val="22CE51C0"/>
    <w:rsid w:val="23130E25"/>
    <w:rsid w:val="232E2103"/>
    <w:rsid w:val="235C6C70"/>
    <w:rsid w:val="23BA05FB"/>
    <w:rsid w:val="243472A5"/>
    <w:rsid w:val="24521E21"/>
    <w:rsid w:val="253B4663"/>
    <w:rsid w:val="25BC57A4"/>
    <w:rsid w:val="25D80104"/>
    <w:rsid w:val="25F27417"/>
    <w:rsid w:val="26431A21"/>
    <w:rsid w:val="26712A32"/>
    <w:rsid w:val="27084A19"/>
    <w:rsid w:val="272A2BE1"/>
    <w:rsid w:val="27A75FE0"/>
    <w:rsid w:val="28275C5B"/>
    <w:rsid w:val="28940C5A"/>
    <w:rsid w:val="289730BA"/>
    <w:rsid w:val="294F692F"/>
    <w:rsid w:val="29622B06"/>
    <w:rsid w:val="298E19E8"/>
    <w:rsid w:val="29FF7627"/>
    <w:rsid w:val="2A5561C7"/>
    <w:rsid w:val="2AA131BA"/>
    <w:rsid w:val="2B373B1E"/>
    <w:rsid w:val="2B45448D"/>
    <w:rsid w:val="2B597F39"/>
    <w:rsid w:val="2B7F4745"/>
    <w:rsid w:val="2BCA6741"/>
    <w:rsid w:val="2C7B4F1A"/>
    <w:rsid w:val="2CE6042C"/>
    <w:rsid w:val="2CEC1EDD"/>
    <w:rsid w:val="2D1E0AF2"/>
    <w:rsid w:val="2E7D5CEC"/>
    <w:rsid w:val="2FBF58A6"/>
    <w:rsid w:val="2FC71A29"/>
    <w:rsid w:val="30182170"/>
    <w:rsid w:val="30234671"/>
    <w:rsid w:val="30711881"/>
    <w:rsid w:val="30F06C49"/>
    <w:rsid w:val="31093EF3"/>
    <w:rsid w:val="317F3B29"/>
    <w:rsid w:val="31FC33CC"/>
    <w:rsid w:val="325D20BC"/>
    <w:rsid w:val="327C459C"/>
    <w:rsid w:val="32D71C14"/>
    <w:rsid w:val="33707BCD"/>
    <w:rsid w:val="33F20F2A"/>
    <w:rsid w:val="33F61CAC"/>
    <w:rsid w:val="33F97BC3"/>
    <w:rsid w:val="34010684"/>
    <w:rsid w:val="34CD1F56"/>
    <w:rsid w:val="34FF56AD"/>
    <w:rsid w:val="357041D0"/>
    <w:rsid w:val="35A40002"/>
    <w:rsid w:val="36462E68"/>
    <w:rsid w:val="367F170F"/>
    <w:rsid w:val="36933FF0"/>
    <w:rsid w:val="36CE17DB"/>
    <w:rsid w:val="36D6068F"/>
    <w:rsid w:val="375A728C"/>
    <w:rsid w:val="37753A04"/>
    <w:rsid w:val="3781684D"/>
    <w:rsid w:val="37B704C1"/>
    <w:rsid w:val="38FB262F"/>
    <w:rsid w:val="395835DE"/>
    <w:rsid w:val="39AD1CD6"/>
    <w:rsid w:val="3A647D60"/>
    <w:rsid w:val="3B602C1D"/>
    <w:rsid w:val="3BE23632"/>
    <w:rsid w:val="3CA1529C"/>
    <w:rsid w:val="3CB274A9"/>
    <w:rsid w:val="3D3A1978"/>
    <w:rsid w:val="3E2717D1"/>
    <w:rsid w:val="3E6E73FF"/>
    <w:rsid w:val="3EBE3EE3"/>
    <w:rsid w:val="3ED454B4"/>
    <w:rsid w:val="3F1334EB"/>
    <w:rsid w:val="3F5D3E25"/>
    <w:rsid w:val="3F642602"/>
    <w:rsid w:val="3FD341E0"/>
    <w:rsid w:val="400C5122"/>
    <w:rsid w:val="412D5350"/>
    <w:rsid w:val="41465248"/>
    <w:rsid w:val="41CD7C17"/>
    <w:rsid w:val="41DA7286"/>
    <w:rsid w:val="42497F67"/>
    <w:rsid w:val="425012F6"/>
    <w:rsid w:val="427A6530"/>
    <w:rsid w:val="43193DDE"/>
    <w:rsid w:val="443D5731"/>
    <w:rsid w:val="4440659B"/>
    <w:rsid w:val="44531571"/>
    <w:rsid w:val="449D459A"/>
    <w:rsid w:val="45703A5D"/>
    <w:rsid w:val="45C67B21"/>
    <w:rsid w:val="45E943A6"/>
    <w:rsid w:val="466547A5"/>
    <w:rsid w:val="46DF70EC"/>
    <w:rsid w:val="476D294A"/>
    <w:rsid w:val="47777325"/>
    <w:rsid w:val="482E032B"/>
    <w:rsid w:val="485338EE"/>
    <w:rsid w:val="4857586E"/>
    <w:rsid w:val="48972517"/>
    <w:rsid w:val="48DF33D4"/>
    <w:rsid w:val="499A379E"/>
    <w:rsid w:val="4ACC7988"/>
    <w:rsid w:val="4AE91851"/>
    <w:rsid w:val="4AF56EDE"/>
    <w:rsid w:val="4AFC4C85"/>
    <w:rsid w:val="4B161C2E"/>
    <w:rsid w:val="4B3D0885"/>
    <w:rsid w:val="4B6F7D2C"/>
    <w:rsid w:val="4BD016F9"/>
    <w:rsid w:val="4BD74836"/>
    <w:rsid w:val="4C643B5B"/>
    <w:rsid w:val="4C9E7102"/>
    <w:rsid w:val="4CB22BAD"/>
    <w:rsid w:val="4CBF59F6"/>
    <w:rsid w:val="4CE90CC5"/>
    <w:rsid w:val="4DA150FB"/>
    <w:rsid w:val="4DF27705"/>
    <w:rsid w:val="4E0F1260"/>
    <w:rsid w:val="4E760336"/>
    <w:rsid w:val="4E892822"/>
    <w:rsid w:val="4FEC63D6"/>
    <w:rsid w:val="4FF43C08"/>
    <w:rsid w:val="50545E23"/>
    <w:rsid w:val="508435C2"/>
    <w:rsid w:val="5099655E"/>
    <w:rsid w:val="50CA4969"/>
    <w:rsid w:val="510D2AA8"/>
    <w:rsid w:val="512D6CA6"/>
    <w:rsid w:val="51962A9D"/>
    <w:rsid w:val="51A14C87"/>
    <w:rsid w:val="526D1A50"/>
    <w:rsid w:val="529F5982"/>
    <w:rsid w:val="542C1497"/>
    <w:rsid w:val="54882B71"/>
    <w:rsid w:val="54A11E85"/>
    <w:rsid w:val="55A559A5"/>
    <w:rsid w:val="55C7591B"/>
    <w:rsid w:val="55D076DD"/>
    <w:rsid w:val="56B440F1"/>
    <w:rsid w:val="57AA1051"/>
    <w:rsid w:val="57F8000E"/>
    <w:rsid w:val="58215CCF"/>
    <w:rsid w:val="586E207E"/>
    <w:rsid w:val="587322B9"/>
    <w:rsid w:val="58B8779D"/>
    <w:rsid w:val="5952035B"/>
    <w:rsid w:val="595B6AA6"/>
    <w:rsid w:val="595C281E"/>
    <w:rsid w:val="59B47F65"/>
    <w:rsid w:val="5A096502"/>
    <w:rsid w:val="5A24333C"/>
    <w:rsid w:val="5A3B68D8"/>
    <w:rsid w:val="5A785436"/>
    <w:rsid w:val="5A8C2C8F"/>
    <w:rsid w:val="5ACE5056"/>
    <w:rsid w:val="5B1A134B"/>
    <w:rsid w:val="5B8816A9"/>
    <w:rsid w:val="5BA81D4B"/>
    <w:rsid w:val="5C5E240A"/>
    <w:rsid w:val="5CBA58EA"/>
    <w:rsid w:val="5CD1272B"/>
    <w:rsid w:val="5D283B58"/>
    <w:rsid w:val="5D3A69D3"/>
    <w:rsid w:val="5D714115"/>
    <w:rsid w:val="5DEA21A7"/>
    <w:rsid w:val="5E9A1E1F"/>
    <w:rsid w:val="5EF86B45"/>
    <w:rsid w:val="5F0B4ACB"/>
    <w:rsid w:val="606F72DB"/>
    <w:rsid w:val="60E2185B"/>
    <w:rsid w:val="61A60ADB"/>
    <w:rsid w:val="61D03DA9"/>
    <w:rsid w:val="61DE0274"/>
    <w:rsid w:val="62404A8B"/>
    <w:rsid w:val="625C73EB"/>
    <w:rsid w:val="62606EDB"/>
    <w:rsid w:val="62A0377C"/>
    <w:rsid w:val="634E142A"/>
    <w:rsid w:val="64562060"/>
    <w:rsid w:val="650C6EA7"/>
    <w:rsid w:val="66E77BCB"/>
    <w:rsid w:val="66FF65F4"/>
    <w:rsid w:val="672030DD"/>
    <w:rsid w:val="68183DB4"/>
    <w:rsid w:val="68921DB9"/>
    <w:rsid w:val="69110E2A"/>
    <w:rsid w:val="69483323"/>
    <w:rsid w:val="6963222B"/>
    <w:rsid w:val="69B30239"/>
    <w:rsid w:val="6A22716C"/>
    <w:rsid w:val="6A316C25"/>
    <w:rsid w:val="6AC67AF8"/>
    <w:rsid w:val="6C150D37"/>
    <w:rsid w:val="6CE55009"/>
    <w:rsid w:val="6D0A63C2"/>
    <w:rsid w:val="6DD8201C"/>
    <w:rsid w:val="6E533D98"/>
    <w:rsid w:val="6E623FDB"/>
    <w:rsid w:val="6E842D33"/>
    <w:rsid w:val="6F5E29F5"/>
    <w:rsid w:val="6F76710D"/>
    <w:rsid w:val="6FCE10E6"/>
    <w:rsid w:val="6FCF3CB7"/>
    <w:rsid w:val="700510C2"/>
    <w:rsid w:val="709F1517"/>
    <w:rsid w:val="70FC24C5"/>
    <w:rsid w:val="712C2C68"/>
    <w:rsid w:val="72653996"/>
    <w:rsid w:val="72E970C4"/>
    <w:rsid w:val="731955B0"/>
    <w:rsid w:val="73A3131E"/>
    <w:rsid w:val="74730CF0"/>
    <w:rsid w:val="7521699E"/>
    <w:rsid w:val="758111EB"/>
    <w:rsid w:val="766E5C13"/>
    <w:rsid w:val="76E66C38"/>
    <w:rsid w:val="77020109"/>
    <w:rsid w:val="77094014"/>
    <w:rsid w:val="77272837"/>
    <w:rsid w:val="77316C41"/>
    <w:rsid w:val="774D646B"/>
    <w:rsid w:val="77737259"/>
    <w:rsid w:val="77860D3A"/>
    <w:rsid w:val="77AB07A1"/>
    <w:rsid w:val="77C16217"/>
    <w:rsid w:val="77E31CE9"/>
    <w:rsid w:val="7816788A"/>
    <w:rsid w:val="78236589"/>
    <w:rsid w:val="78762F5E"/>
    <w:rsid w:val="7883527A"/>
    <w:rsid w:val="78A53508"/>
    <w:rsid w:val="78BE62B2"/>
    <w:rsid w:val="78E57CE3"/>
    <w:rsid w:val="7947274B"/>
    <w:rsid w:val="796926C2"/>
    <w:rsid w:val="79975481"/>
    <w:rsid w:val="7AA339B1"/>
    <w:rsid w:val="7BF73FB5"/>
    <w:rsid w:val="7C091F3A"/>
    <w:rsid w:val="7CA27158"/>
    <w:rsid w:val="7CA83501"/>
    <w:rsid w:val="7D017FF9"/>
    <w:rsid w:val="7DCC0B91"/>
    <w:rsid w:val="7DFC1D56"/>
    <w:rsid w:val="7E394D59"/>
    <w:rsid w:val="7EDE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4B956EED">
          <w:pPr>
            <w:pStyle w:val="5"/>
          </w:pPr>
          <w:r>
            <w:rPr>
              <w:rStyle w:val="4"/>
              <w:rFonts w:hint="eastAsia"/>
            </w:rPr>
            <w:t>单击或点击此处输入文字。</w:t>
          </w:r>
        </w:p>
      </w:docPartBody>
    </w:docPart>
    <w:docPart>
      <w:docPartPr>
        <w:name w:val="{8c1b47a4-cd44-42a1-a634-f1f1eedb417b}"/>
        <w:style w:val=""/>
        <w:category>
          <w:name w:val="常规"/>
          <w:gallery w:val="placeholder"/>
        </w:category>
        <w:types>
          <w:type w:val="bbPlcHdr"/>
        </w:types>
        <w:behaviors>
          <w:behavior w:val="content"/>
        </w:behaviors>
        <w:description w:val=""/>
        <w:guid w:val="{8c1b47a4-cd44-42a1-a634-f1f1eedb417b}"/>
      </w:docPartPr>
      <w:docPartBody>
        <w:p w14:paraId="63B4996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3215</Words>
  <Characters>3546</Characters>
  <Lines>48</Lines>
  <Paragraphs>13</Paragraphs>
  <TotalTime>0</TotalTime>
  <ScaleCrop>false</ScaleCrop>
  <LinksUpToDate>false</LinksUpToDate>
  <CharactersWithSpaces>3625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道玄</cp:lastModifiedBy>
  <cp:lastPrinted>2021-02-02T08:22:00Z</cp:lastPrinted>
  <dcterms:modified xsi:type="dcterms:W3CDTF">2026-06-01T02:11:28Z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eyJoZGlkIjoiMzEwNTM5NzYwMDRjMzkwZTVkZjY2ODkwMGIxNGU0OTUiLCJ1c2VySWQiOiIxMzUwNzEwOTA1In0=</vt:lpwstr>
  </property>
  <property fmtid="{D5CDD505-2E9C-101B-9397-08002B2CF9AE}" pid="16" name="KSOProductBuildVer">
    <vt:lpwstr>2052-12.1.0.26375</vt:lpwstr>
  </property>
  <property fmtid="{D5CDD505-2E9C-101B-9397-08002B2CF9AE}" pid="17" name="ICV">
    <vt:lpwstr>EC2112B41C094811A06C35EC8F00E421_13</vt:lpwstr>
  </property>
</Properties>
</file>